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b/>
          <w:bCs/>
          <w:color w:val="000000"/>
          <w:sz w:val="84"/>
        </w:rPr>
      </w:pPr>
      <w:bookmarkStart w:id="0" w:name="_GoBack"/>
      <w:bookmarkEnd w:id="0"/>
    </w:p>
    <w:p>
      <w:pPr>
        <w:jc w:val="center"/>
        <w:rPr>
          <w:rFonts w:ascii="宋体"/>
          <w:b/>
          <w:bCs/>
          <w:color w:val="000000"/>
          <w:sz w:val="84"/>
        </w:rPr>
      </w:pPr>
    </w:p>
    <w:p>
      <w:pPr>
        <w:jc w:val="center"/>
        <w:rPr>
          <w:rFonts w:ascii="宋体"/>
          <w:sz w:val="84"/>
        </w:rPr>
      </w:pPr>
      <w:r>
        <w:rPr>
          <w:rFonts w:ascii="宋体" w:hint="eastAsia"/>
          <w:sz w:val="84"/>
        </w:rPr>
        <w:t xml:space="preserve">招 标 文 件 </w:t>
      </w:r>
    </w:p>
    <w:p>
      <w:pPr>
        <w:ind w:firstLine="420"/>
        <w:jc w:val="center"/>
        <w:rPr>
          <w:rFonts w:ascii="宋体"/>
          <w:b/>
          <w:bCs/>
          <w:sz w:val="84"/>
        </w:rPr>
      </w:pPr>
    </w:p>
    <w:p>
      <w:pPr>
        <w:spacing w:line="700" w:lineRule="exact"/>
        <w:ind w:firstLine="320" w:firstLineChars="100"/>
        <w:rPr>
          <w:rFonts w:ascii="宋体"/>
          <w:color w:val="000000"/>
          <w:sz w:val="32"/>
        </w:rPr>
      </w:pPr>
      <w:r>
        <w:rPr>
          <w:rFonts w:ascii="宋体" w:hint="eastAsia"/>
          <w:color w:val="000000"/>
          <w:sz w:val="32"/>
        </w:rPr>
        <w:t>招标编号：</w:t>
      </w:r>
      <w:r>
        <w:rPr>
          <w:rFonts w:ascii="宋体" w:hint="eastAsia"/>
          <w:color w:val="0000FF"/>
          <w:sz w:val="32"/>
        </w:rPr>
        <w:t xml:space="preserve"> </w:t>
      </w:r>
      <w:bookmarkStart w:id="1" w:name="封面_projectNo_1"/>
      <w:r>
        <w:rPr>
          <w:rFonts w:ascii="宋体" w:hint="eastAsia"/>
          <w:color w:val="0000FF"/>
          <w:sz w:val="32"/>
        </w:rPr>
        <w:t>CG2025-WT-GK-FW-012</w:t>
      </w:r>
      <w:bookmarkEnd w:id="1"/>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color w:val="000000"/>
          <w:sz w:val="32"/>
        </w:rPr>
      </w:pPr>
      <w:r>
        <w:rPr>
          <w:rFonts w:ascii="宋体" w:hint="eastAsia"/>
          <w:color w:val="000000"/>
          <w:sz w:val="32"/>
        </w:rPr>
        <w:t>项目名称：</w:t>
      </w:r>
      <w:r>
        <w:rPr>
          <w:rFonts w:ascii="宋体" w:hint="eastAsia"/>
          <w:color w:val="0000FF"/>
          <w:sz w:val="32"/>
        </w:rPr>
        <w:t xml:space="preserve"> </w:t>
      </w:r>
      <w:bookmarkStart w:id="2" w:name="封面_projectName"/>
      <w:r>
        <w:rPr>
          <w:rFonts w:ascii="宋体" w:hint="eastAsia"/>
          <w:color w:val="0000FF"/>
          <w:sz w:val="32"/>
        </w:rPr>
        <w:t>深圳海关2025年中国电子口岸数据中心深圳分中心信息化业务系统数据传输技术支持服务采购项目</w:t>
      </w:r>
      <w:bookmarkEnd w:id="2"/>
      <w:r>
        <w:rPr>
          <w:rFonts w:ascii="宋体" w:hint="eastAsia"/>
          <w:color w:val="0000FF"/>
          <w:sz w:val="32"/>
        </w:rPr>
        <w:t xml:space="preserve"> </w:t>
      </w: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rPr>
          <w:rFonts w:ascii="宋体"/>
          <w:sz w:val="32"/>
        </w:rPr>
      </w:pPr>
    </w:p>
    <w:p>
      <w:pPr>
        <w:spacing w:line="700" w:lineRule="exact"/>
        <w:jc w:val="center"/>
        <w:rPr>
          <w:rFonts w:ascii="宋体"/>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3" w:name="封面_createTime_ym"/>
      <w:r>
        <w:rPr>
          <w:rFonts w:ascii="宋体" w:hint="eastAsia"/>
          <w:b/>
          <w:bCs/>
          <w:color w:val="0000FF"/>
          <w:sz w:val="32"/>
          <w:szCs w:val="32"/>
        </w:rPr>
        <w:t>2025年04月</w:t>
      </w:r>
      <w:bookmarkEnd w:id="3"/>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71168514" w:history="1">
        <w:r>
          <w:rPr>
            <w:rFonts w:hint="eastAsia"/>
            <w:highlight w:val="white"/>
          </w:rPr>
          <w:t>第</w:t>
        </w:r>
        <w:r>
          <w:rPr>
            <w:highlight w:val="white"/>
          </w:rPr>
          <w:t>一</w:t>
        </w:r>
        <w:r>
          <w:rPr>
            <w:rFonts w:hint="eastAsia"/>
            <w:highlight w:val="white"/>
          </w:rPr>
          <w:t xml:space="preserve">部分  </w:t>
        </w:r>
        <w:r>
          <w:rPr>
            <w:highlight w:val="white"/>
          </w:rPr>
          <w:t>招标公告</w:t>
        </w:r>
        <w:r>
          <w:tab/>
        </w:r>
        <w:r>
          <w:fldChar w:fldCharType="begin"/>
        </w:r>
        <w:r>
          <w:instrText>PageRef _Toc71168514 \h</w:instrText>
        </w:r>
        <w:r>
          <w:fldChar w:fldCharType="separate"/>
        </w:r>
        <w:r>
          <w:t>3</w:t>
        </w:r>
        <w:r>
          <w:fldChar w:fldCharType="end"/>
        </w:r>
      </w:hyperlink>
    </w:p>
    <w:p>
      <w:pPr>
        <w:pStyle w:val="TOC1"/>
        <w:tabs>
          <w:tab w:val="right" w:leader="dot" w:pos="8312"/>
        </w:tabs>
      </w:pPr>
      <w:hyperlink w:anchor="_Toc71168515" w:history="1">
        <w:r>
          <w:rPr>
            <w:rFonts w:hint="eastAsia"/>
            <w:highlight w:val="white"/>
          </w:rPr>
          <w:t>第二部分  投标人须知</w:t>
        </w:r>
        <w:r>
          <w:tab/>
        </w:r>
        <w:r>
          <w:fldChar w:fldCharType="begin"/>
        </w:r>
        <w:r>
          <w:instrText>PageRef _Toc71168515 \h</w:instrText>
        </w:r>
        <w:r>
          <w:fldChar w:fldCharType="separate"/>
        </w:r>
        <w:r>
          <w:t>7</w:t>
        </w:r>
        <w:r>
          <w:fldChar w:fldCharType="end"/>
        </w:r>
      </w:hyperlink>
    </w:p>
    <w:p>
      <w:pPr>
        <w:pStyle w:val="TOC1"/>
        <w:tabs>
          <w:tab w:val="right" w:leader="dot" w:pos="8312"/>
        </w:tabs>
      </w:pPr>
      <w:hyperlink w:anchor="_Toc71168516" w:history="1">
        <w:r>
          <w:rPr>
            <w:rFonts w:ascii="Times New Roman" w:hAnsi="Times New Roman" w:hint="eastAsia"/>
            <w:szCs w:val="24"/>
            <w:highlight w:val="white"/>
          </w:rPr>
          <w:t xml:space="preserve">第三部分  </w:t>
        </w:r>
        <w:r>
          <w:rPr>
            <w:rFonts w:ascii="Times New Roman" w:hAnsi="Times New Roman" w:hint="eastAsia"/>
            <w:kern w:val="44"/>
            <w:szCs w:val="24"/>
            <w:highlight w:val="white"/>
          </w:rPr>
          <w:t>项目需求书</w:t>
        </w:r>
        <w:r>
          <w:tab/>
        </w:r>
        <w:r>
          <w:fldChar w:fldCharType="begin"/>
        </w:r>
        <w:r>
          <w:instrText>PageRef _Toc71168516 \h</w:instrText>
        </w:r>
        <w:r>
          <w:fldChar w:fldCharType="separate"/>
        </w:r>
        <w:r>
          <w:t>23</w:t>
        </w:r>
        <w:r>
          <w:fldChar w:fldCharType="end"/>
        </w:r>
      </w:hyperlink>
    </w:p>
    <w:p>
      <w:pPr>
        <w:pStyle w:val="TOC1"/>
        <w:tabs>
          <w:tab w:val="right" w:leader="dot" w:pos="8312"/>
        </w:tabs>
      </w:pPr>
      <w:hyperlink w:anchor="_Toc71168517" w:history="1">
        <w:r>
          <w:rPr>
            <w:rFonts w:hint="eastAsia"/>
            <w:highlight w:val="white"/>
          </w:rPr>
          <w:t>第</w:t>
        </w:r>
        <w:r>
          <w:rPr>
            <w:highlight w:val="white"/>
          </w:rPr>
          <w:t>四</w:t>
        </w:r>
        <w:r>
          <w:rPr>
            <w:rFonts w:hint="eastAsia"/>
            <w:highlight w:val="white"/>
          </w:rPr>
          <w:t>部分  评审标准</w:t>
        </w:r>
        <w:r>
          <w:tab/>
        </w:r>
        <w:r>
          <w:fldChar w:fldCharType="begin"/>
        </w:r>
        <w:r>
          <w:instrText>PageRef _Toc71168517 \h</w:instrText>
        </w:r>
        <w:r>
          <w:fldChar w:fldCharType="separate"/>
        </w:r>
        <w:r>
          <w:t>53</w:t>
        </w:r>
        <w:r>
          <w:fldChar w:fldCharType="end"/>
        </w:r>
      </w:hyperlink>
    </w:p>
    <w:p>
      <w:pPr>
        <w:pStyle w:val="TOC1"/>
        <w:tabs>
          <w:tab w:val="right" w:leader="dot" w:pos="8312"/>
        </w:tabs>
      </w:pPr>
      <w:hyperlink w:anchor="_Toc71168518" w:history="1">
        <w:r>
          <w:rPr>
            <w:rFonts w:hint="eastAsia"/>
            <w:kern w:val="44"/>
            <w:szCs w:val="24"/>
            <w:highlight w:val="white"/>
          </w:rPr>
          <w:t>第五部分  合同文本</w:t>
        </w:r>
        <w:r>
          <w:tab/>
        </w:r>
        <w:r>
          <w:fldChar w:fldCharType="begin"/>
        </w:r>
        <w:r>
          <w:instrText>PageRef _Toc71168518 \h</w:instrText>
        </w:r>
        <w:r>
          <w:fldChar w:fldCharType="separate"/>
        </w:r>
        <w:r>
          <w:t>56</w:t>
        </w:r>
        <w:r>
          <w:fldChar w:fldCharType="end"/>
        </w:r>
      </w:hyperlink>
    </w:p>
    <w:p>
      <w:pPr>
        <w:pStyle w:val="TOC1"/>
        <w:tabs>
          <w:tab w:val="right" w:leader="dot" w:pos="8312"/>
        </w:tabs>
      </w:pPr>
      <w:hyperlink w:anchor="_Toc71168519" w:history="1">
        <w:r>
          <w:rPr>
            <w:rFonts w:hint="eastAsia"/>
            <w:highlight w:val="white"/>
          </w:rPr>
          <w:t>第六部分  投标文件格式</w:t>
        </w:r>
        <w:r>
          <w:tab/>
        </w:r>
        <w:r>
          <w:fldChar w:fldCharType="begin"/>
        </w:r>
        <w:r>
          <w:instrText>PageRef _Toc71168519 \h</w:instrText>
        </w:r>
        <w:r>
          <w:fldChar w:fldCharType="separate"/>
        </w:r>
        <w:r>
          <w:t>70</w:t>
        </w:r>
        <w:r>
          <w:fldChar w:fldCharType="end"/>
        </w:r>
      </w:hyperlink>
      <w:r>
        <w:rPr>
          <w:rFonts w:ascii="Calibri" w:hAnsi="Calibri"/>
          <w:sz w:val="44"/>
          <w:szCs w:val="44"/>
          <w:highlight w:val="white"/>
        </w:rPr>
        <w:fldChar w:fldCharType="end"/>
      </w:r>
    </w:p>
    <w:p>
      <w:pPr>
        <w:rPr>
          <w:rFonts w:ascii="Calibri" w:hAnsi="Calibri"/>
          <w:b/>
          <w:sz w:val="44"/>
          <w:szCs w:val="44"/>
          <w:highlight w:val="white"/>
        </w:rPr>
      </w:pPr>
    </w:p>
    <w:p>
      <w:pPr>
        <w:autoSpaceDN w:val="0"/>
        <w:spacing w:line="360" w:lineRule="auto"/>
        <w:ind w:firstLine="480"/>
        <w:rPr>
          <w:rFonts w:ascii="宋体" w:hint="eastAsia"/>
          <w:sz w:val="24"/>
        </w:rPr>
      </w:pPr>
      <w:r>
        <w:rPr>
          <w:b/>
          <w:kern w:val="44"/>
          <w:sz w:val="30"/>
          <w:highlight w:val="white"/>
        </w:rPr>
        <w:br w:type="page"/>
      </w: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深圳海关2025年中国电子口岸数据中心深圳分中心信息化业务系统数据传输技术支持服务采购项目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CG2025-WT-GK-FW-012</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深圳海关2025年中国电子口岸数据中心深圳分中心信息化业务系统数据传输技术支持服务采购项目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本项目预算金额合计总金额人民币2,192,400.00元，其中包1人民币2,192,400.00元。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Pr>
          <w:p>
            <w:pPr>
              <w:pStyle w:val="100"/>
              <w:spacing w:after="120" w:line="240" w:lineRule="auto"/>
              <w:rPr>
                <w:rFonts w:ascii="宋体"/>
                <w:b/>
                <w:color w:val="000000"/>
                <w:sz w:val="24"/>
                <w:highlight w:val="white"/>
              </w:rPr>
            </w:pPr>
            <w:r>
              <w:rPr>
                <w:rFonts w:ascii="宋体"/>
                <w:b/>
                <w:color w:val="000000"/>
                <w:sz w:val="24"/>
                <w:highlight w:val="white"/>
              </w:rPr>
              <w:t>包件号</w:t>
            </w:r>
          </w:p>
        </w:tc>
        <w:tc>
          <w:tcPr>
            <w:tcW w:w="748" w:type="dxa"/>
          </w:tcPr>
          <w:p>
            <w:pPr>
              <w:pStyle w:val="110"/>
              <w:spacing w:after="120" w:line="240" w:lineRule="auto"/>
              <w:rPr>
                <w:rFonts w:ascii="宋体"/>
                <w:b/>
                <w:color w:val="000000"/>
                <w:sz w:val="24"/>
                <w:highlight w:val="white"/>
              </w:rPr>
            </w:pPr>
            <w:r>
              <w:rPr>
                <w:rFonts w:ascii="宋体"/>
                <w:b/>
                <w:color w:val="000000"/>
                <w:sz w:val="24"/>
                <w:highlight w:val="white"/>
              </w:rPr>
              <w:t>序号</w:t>
            </w:r>
          </w:p>
        </w:tc>
        <w:tc>
          <w:tcPr>
            <w:tcW w:w="1218" w:type="dxa"/>
          </w:tcPr>
          <w:p>
            <w:pPr>
              <w:pStyle w:val="2101"/>
              <w:spacing w:after="120" w:line="240" w:lineRule="auto"/>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tcPr>
          <w:p>
            <w:pPr>
              <w:pStyle w:val="310"/>
              <w:spacing w:after="120" w:line="240" w:lineRule="auto"/>
              <w:rPr>
                <w:rFonts w:ascii="宋体"/>
                <w:b/>
                <w:color w:val="000000"/>
                <w:sz w:val="24"/>
                <w:highlight w:val="white"/>
              </w:rPr>
            </w:pPr>
            <w:r>
              <w:rPr>
                <w:rFonts w:ascii="宋体"/>
                <w:b/>
                <w:color w:val="000000"/>
                <w:sz w:val="24"/>
                <w:highlight w:val="white"/>
              </w:rPr>
              <w:t>数量</w:t>
            </w:r>
          </w:p>
        </w:tc>
        <w:tc>
          <w:tcPr>
            <w:tcW w:w="1534" w:type="dxa"/>
          </w:tcPr>
          <w:p>
            <w:pPr>
              <w:pStyle w:val="410"/>
              <w:spacing w:after="120" w:line="240" w:lineRule="auto"/>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96" w:type="dxa"/>
          </w:tcPr>
          <w:p>
            <w:pPr>
              <w:pStyle w:val="510"/>
              <w:spacing w:after="120" w:line="240" w:lineRule="auto"/>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52" w:type="dxa"/>
          </w:tcPr>
          <w:p>
            <w:pPr>
              <w:pStyle w:val="610"/>
              <w:spacing w:after="120" w:line="240" w:lineRule="auto"/>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7820"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ascii="宋体"/>
                <w:b/>
                <w:color w:val="0000FF"/>
                <w:sz w:val="24"/>
                <w:highlight w:val="white"/>
              </w:rPr>
            </w:pPr>
            <w:r>
              <w:t>中国电子口岸数据中心深圳分中心信息化业务系统数据传输技术支持服务</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ascii="宋体"/>
                <w:b/>
                <w:color w:val="0000FF"/>
                <w:sz w:val="24"/>
                <w:highlight w:val="white"/>
              </w:rPr>
            </w:pPr>
            <w:r>
              <w:t>自合同签订起1年。</w:t>
            </w:r>
          </w:p>
        </w:tc>
        <w:tc>
          <w:tcPr>
            <w:tcW w:w="1296" w:type="dxa"/>
            <w:vAlign w:val="center"/>
          </w:tcPr>
          <w:p>
            <w:pPr>
              <w:spacing w:after="120" w:line="240" w:lineRule="auto"/>
              <w:rPr>
                <w:rFonts w:ascii="宋体"/>
                <w:b/>
                <w:color w:val="0000FF"/>
                <w:sz w:val="24"/>
                <w:highlight w:val="white"/>
              </w:rPr>
            </w:pPr>
            <w:r>
              <w:t>海关指定地点</w:t>
            </w:r>
          </w:p>
        </w:tc>
        <w:tc>
          <w:tcPr>
            <w:tcW w:w="1252" w:type="dxa"/>
            <w:vAlign w:val="center"/>
          </w:tcPr>
          <w:p>
            <w:pPr>
              <w:spacing w:after="120" w:line="240" w:lineRule="auto"/>
              <w:rPr>
                <w:rFonts w:ascii="宋体" w:hint="eastAsia"/>
                <w:b/>
                <w:color w:val="0000FF"/>
                <w:sz w:val="24"/>
                <w:highlight w:val="white"/>
              </w:rPr>
            </w:pPr>
            <w:r>
              <w:t>详见项目需求书</w:t>
            </w:r>
          </w:p>
        </w:tc>
      </w:tr>
    </w:tbl>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 xml:space="preserve">软件和信息技术服务业 </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3.本项目专门面向中小企业采购。</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2025-05-09 00:00:00</w:t>
      </w:r>
      <w:bookmarkEnd w:id="12"/>
      <w:r>
        <w:rPr>
          <w:rFonts w:ascii="宋体" w:hint="eastAsia"/>
          <w:sz w:val="24"/>
        </w:rPr>
        <w:t>至</w:t>
      </w:r>
      <w:bookmarkStart w:id="13" w:name="公告_signUpLastTime"/>
      <w:r>
        <w:rPr>
          <w:rFonts w:ascii="宋体" w:hint="eastAsia"/>
          <w:sz w:val="24"/>
        </w:rPr>
        <w:t>2025-05-16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2025-05-30 08:45:00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2025-05-30 08:45:00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于2025-01-15</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19" w:name="_Toc71168515"/>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tbl>
      <w:tblPr>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b/>
                <w:bCs/>
                <w:sz w:val="24"/>
              </w:rPr>
            </w:pPr>
            <w:r>
              <w:rPr>
                <w:rFonts w:ascii="宋体" w:cs="微软雅黑" w:hint="eastAsia"/>
                <w:b/>
                <w:bCs/>
                <w:sz w:val="24"/>
              </w:rPr>
              <w:t>序号</w:t>
            </w:r>
          </w:p>
        </w:tc>
        <w:tc>
          <w:tcPr>
            <w:tcW w:w="2101" w:type="dxa"/>
            <w:vAlign w:val="center"/>
          </w:tcPr>
          <w:p>
            <w:pPr>
              <w:tabs>
                <w:tab w:val="left" w:pos="588"/>
              </w:tabs>
              <w:autoSpaceDN w:val="0"/>
              <w:spacing w:line="360" w:lineRule="auto"/>
              <w:ind w:left="1" w:firstLine="360" w:firstLineChars="150"/>
              <w:rPr>
                <w:rFonts w:ascii="宋体" w:cs="微软雅黑"/>
                <w:b/>
                <w:bCs/>
                <w:sz w:val="24"/>
              </w:rPr>
            </w:pPr>
            <w:r>
              <w:rPr>
                <w:rFonts w:ascii="宋体" w:cs="微软雅黑" w:hint="eastAsia"/>
                <w:b/>
                <w:bCs/>
                <w:sz w:val="24"/>
              </w:rPr>
              <w:t>内  容</w:t>
            </w:r>
          </w:p>
        </w:tc>
        <w:tc>
          <w:tcPr>
            <w:tcW w:w="7546" w:type="dxa"/>
            <w:vAlign w:val="center"/>
          </w:tcPr>
          <w:p>
            <w:pPr>
              <w:tabs>
                <w:tab w:val="left" w:pos="588"/>
              </w:tabs>
              <w:autoSpaceDN w:val="0"/>
              <w:spacing w:line="360" w:lineRule="auto"/>
              <w:ind w:left="1" w:firstLine="2160" w:firstLineChars="900"/>
              <w:rPr>
                <w:rFonts w:ascii="宋体" w:cs="微软雅黑"/>
                <w:b/>
                <w:bCs/>
                <w:sz w:val="24"/>
              </w:rPr>
            </w:pPr>
            <w:r>
              <w:rPr>
                <w:rFonts w:ascii="宋体" w:cs="微软雅黑" w:hint="eastAsia"/>
                <w:b/>
                <w:bCs/>
                <w:sz w:val="24"/>
              </w:rPr>
              <w:t>说明与要求</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w:t>
            </w:r>
          </w:p>
        </w:tc>
        <w:tc>
          <w:tcPr>
            <w:tcW w:w="2101" w:type="dxa"/>
            <w:vAlign w:val="center"/>
          </w:tcPr>
          <w:p>
            <w:pPr>
              <w:tabs>
                <w:tab w:val="left" w:pos="588"/>
              </w:tabs>
              <w:autoSpaceDN w:val="0"/>
              <w:spacing w:line="360" w:lineRule="auto"/>
              <w:ind w:left="1"/>
              <w:rPr>
                <w:rFonts w:ascii="宋体" w:cs="微软雅黑"/>
                <w:sz w:val="24"/>
              </w:rPr>
            </w:pPr>
            <w:r>
              <w:rPr>
                <w:rFonts w:ascii="宋体" w:cs="微软雅黑" w:hint="eastAsia"/>
                <w:sz w:val="24"/>
              </w:rPr>
              <w:t>采购人名称</w:t>
            </w:r>
          </w:p>
        </w:tc>
        <w:tc>
          <w:tcPr>
            <w:tcW w:w="7546" w:type="dxa"/>
            <w:vAlign w:val="center"/>
          </w:tcPr>
          <w:p>
            <w:pPr>
              <w:tabs>
                <w:tab w:val="left" w:pos="588"/>
              </w:tabs>
              <w:autoSpaceDN w:val="0"/>
              <w:spacing w:line="360" w:lineRule="auto"/>
              <w:ind w:left="1"/>
              <w:rPr>
                <w:rFonts w:ascii="宋体" w:cs="微软雅黑"/>
                <w:bCs/>
                <w:sz w:val="24"/>
              </w:rPr>
            </w:pPr>
            <w:bookmarkStart w:id="20" w:name="采购任务单_purchaserOrgName"/>
            <w:r>
              <w:rPr>
                <w:rFonts w:ascii="宋体" w:cs="微软雅黑" w:hint="eastAsia"/>
                <w:bCs/>
                <w:color w:val="0000FF"/>
                <w:sz w:val="24"/>
                <w:highlight w:val="white"/>
              </w:rPr>
              <w:t>深圳海关</w:t>
            </w:r>
            <w:bookmarkEnd w:id="20"/>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2</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项目预算</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bookmarkStart w:id="21" w:name="项目预算和包件预算"/>
            <w:r>
              <w:rPr>
                <w:rFonts w:ascii="宋体" w:cs="微软雅黑" w:hint="eastAsia"/>
                <w:bCs/>
                <w:sz w:val="24"/>
              </w:rPr>
              <w:t>本项目预算金额合计总金额人民币2,192,400.00元，其中包1人民币2,192,400.00元。</w:t>
            </w:r>
            <w:bookmarkEnd w:id="21"/>
          </w:p>
          <w:p>
            <w:pPr>
              <w:tabs>
                <w:tab w:val="left" w:pos="588"/>
              </w:tabs>
              <w:autoSpaceDN w:val="0"/>
              <w:spacing w:line="360" w:lineRule="auto"/>
              <w:ind w:left="1"/>
              <w:rPr>
                <w:rFonts w:ascii="宋体" w:cs="微软雅黑"/>
                <w:bCs/>
                <w:sz w:val="24"/>
              </w:rPr>
            </w:pPr>
            <w:r>
              <w:rPr>
                <w:rFonts w:ascii="宋体" w:cs="微软雅黑" w:hint="eastAsia"/>
                <w:bCs/>
                <w:sz w:val="24"/>
              </w:rPr>
              <w:t>投标人应有明确报价，超过预算或者无报价的，投标无效。</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3</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最高限价</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 xml:space="preserve">本项目最高限价为 </w:t>
            </w:r>
            <w:bookmarkStart w:id="22" w:name="项目公告_maxPrice"/>
            <w:r>
              <w:rPr>
                <w:rFonts w:ascii="宋体" w:cs="微软雅黑" w:hint="eastAsia"/>
                <w:color w:val="0000FF"/>
                <w:sz w:val="24"/>
                <w:highlight w:val="white"/>
              </w:rPr>
              <w:t>2,192,400.00</w:t>
            </w:r>
            <w:bookmarkEnd w:id="22"/>
            <w:r>
              <w:rPr>
                <w:rFonts w:ascii="宋体" w:cs="微软雅黑" w:hint="eastAsia"/>
                <w:bCs/>
                <w:sz w:val="24"/>
              </w:rPr>
              <w:t>，其中包1</w:t>
            </w:r>
            <w:r>
              <w:rPr>
                <w:rFonts w:ascii="宋体" w:cs="微软雅黑"/>
                <w:bCs/>
                <w:sz w:val="24"/>
              </w:rPr>
              <w:t>最高限价</w:t>
            </w:r>
            <w:r>
              <w:rPr>
                <w:rFonts w:ascii="宋体" w:cs="微软雅黑" w:hint="eastAsia"/>
                <w:bCs/>
                <w:sz w:val="24"/>
              </w:rPr>
              <w:t>人民币2,192,400.00元。</w:t>
            </w:r>
          </w:p>
          <w:p>
            <w:pPr>
              <w:tabs>
                <w:tab w:val="left" w:pos="588"/>
              </w:tabs>
              <w:autoSpaceDN w:val="0"/>
              <w:spacing w:line="360" w:lineRule="auto"/>
              <w:ind w:left="1"/>
              <w:rPr>
                <w:rFonts w:ascii="宋体" w:cs="微软雅黑"/>
                <w:bCs/>
                <w:sz w:val="24"/>
              </w:rPr>
            </w:pPr>
            <w:r>
              <w:rPr>
                <w:rFonts w:ascii="宋体" w:cs="微软雅黑" w:hint="eastAsia"/>
                <w:bCs/>
                <w:sz w:val="24"/>
              </w:rPr>
              <w:t>投标人应有明确报价，超过最高限价或者无报价的，投标无效。</w:t>
            </w:r>
          </w:p>
        </w:tc>
      </w:tr>
      <w:tr>
        <w:tblPrEx>
          <w:tblW w:w="10386" w:type="dxa"/>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4</w:t>
            </w:r>
          </w:p>
        </w:tc>
        <w:tc>
          <w:tcPr>
            <w:tcW w:w="2101" w:type="dxa"/>
            <w:vAlign w:val="center"/>
          </w:tcPr>
          <w:p>
            <w:pPr>
              <w:tabs>
                <w:tab w:val="left" w:pos="588"/>
              </w:tabs>
              <w:autoSpaceDN w:val="0"/>
              <w:spacing w:line="360" w:lineRule="auto"/>
              <w:ind w:left="1"/>
              <w:rPr>
                <w:rFonts w:ascii="宋体" w:cs="微软雅黑"/>
                <w:sz w:val="24"/>
              </w:rPr>
            </w:pPr>
            <w:r>
              <w:rPr>
                <w:rFonts w:ascii="宋体" w:cs="微软雅黑" w:hint="eastAsia"/>
                <w:sz w:val="24"/>
              </w:rPr>
              <w:t>是否允许代理商投标</w:t>
            </w:r>
          </w:p>
        </w:tc>
        <w:tc>
          <w:tcPr>
            <w:tcW w:w="7546" w:type="dxa"/>
            <w:vAlign w:val="center"/>
          </w:tcPr>
          <w:p>
            <w:pPr>
              <w:tabs>
                <w:tab w:val="left" w:pos="588"/>
              </w:tabs>
              <w:autoSpaceDN w:val="0"/>
              <w:spacing w:line="360" w:lineRule="auto"/>
              <w:ind w:left="1"/>
              <w:rPr>
                <w:rFonts w:ascii="宋体" w:cs="微软雅黑"/>
                <w:sz w:val="24"/>
              </w:rPr>
            </w:pPr>
            <w:bookmarkStart w:id="23" w:name="投标须知_agentBidding"/>
            <w:r>
              <w:rPr>
                <w:rFonts w:ascii="宋体" w:cs="微软雅黑" w:hint="eastAsia"/>
                <w:sz w:val="24"/>
              </w:rPr>
              <w:t>否</w:t>
            </w:r>
            <w:bookmarkEnd w:id="23"/>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5</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开标一览表</w:t>
            </w:r>
          </w:p>
        </w:tc>
        <w:tc>
          <w:tcPr>
            <w:tcW w:w="7546" w:type="dxa"/>
            <w:vAlign w:val="center"/>
          </w:tcPr>
          <w:p>
            <w:pPr>
              <w:rPr>
                <w:rFonts w:ascii="宋体" w:cs="微软雅黑"/>
                <w:bCs/>
                <w:sz w:val="24"/>
              </w:rPr>
            </w:pPr>
            <w:r>
              <w:rPr>
                <w:rFonts w:ascii="宋体" w:hint="eastAsia"/>
                <w:sz w:val="24"/>
              </w:rPr>
              <w:t>★</w:t>
            </w:r>
            <w:r>
              <w:rPr>
                <w:rFonts w:ascii="宋体" w:cs="微软雅黑" w:hint="eastAsia"/>
                <w:bCs/>
                <w:sz w:val="24"/>
              </w:rPr>
              <w:t>投标人在提交投标文件时，应按照投标工具的流程和提示编制并上传开标一览表。</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6</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是否允许联合体投标</w:t>
            </w:r>
          </w:p>
        </w:tc>
        <w:tc>
          <w:tcPr>
            <w:tcW w:w="7546" w:type="dxa"/>
            <w:vAlign w:val="center"/>
          </w:tcPr>
          <w:p>
            <w:pPr>
              <w:tabs>
                <w:tab w:val="left" w:pos="588"/>
              </w:tabs>
              <w:autoSpaceDN w:val="0"/>
              <w:spacing w:line="360" w:lineRule="auto"/>
              <w:ind w:left="1"/>
              <w:rPr>
                <w:rFonts w:ascii="宋体" w:cs="微软雅黑"/>
                <w:bCs/>
                <w:sz w:val="24"/>
              </w:rPr>
            </w:pPr>
            <w:bookmarkStart w:id="24" w:name="投标人须知_canUnion"/>
            <w:r>
              <w:rPr>
                <w:rFonts w:ascii="宋体" w:cs="微软雅黑" w:hint="eastAsia"/>
                <w:bCs/>
                <w:sz w:val="24"/>
              </w:rPr>
              <w:t>否</w:t>
            </w:r>
            <w:bookmarkEnd w:id="24"/>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7</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投标人资格审查材料</w:t>
            </w:r>
          </w:p>
        </w:tc>
        <w:tc>
          <w:tcPr>
            <w:tcW w:w="7546" w:type="dxa"/>
            <w:vAlign w:val="center"/>
          </w:tcPr>
          <w:p>
            <w:pPr>
              <w:spacing w:line="360" w:lineRule="auto"/>
              <w:rPr>
                <w:rFonts w:ascii="宋体" w:cs="微软雅黑"/>
                <w:bCs/>
                <w:sz w:val="24"/>
              </w:rPr>
            </w:pPr>
            <w:r>
              <w:rPr>
                <w:rFonts w:ascii="宋体" w:hint="eastAsia"/>
                <w:sz w:val="24"/>
              </w:rPr>
              <w:t>★</w:t>
            </w:r>
            <w:r>
              <w:rPr>
                <w:rFonts w:ascii="宋体" w:cs="微软雅黑" w:hint="eastAsia"/>
                <w:bCs/>
                <w:sz w:val="24"/>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8</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投标文件提交方式</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9</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供应商CA办理</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CA办理有关事项详见中国海关政府采购网首页“供应商CA证书办理”专栏提交相关材料。</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10</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投标有效期</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120日历天（投标有效期从提交投标文件的截止之日起算。有效期短于该规定期限的投标无效）。</w:t>
            </w:r>
          </w:p>
        </w:tc>
      </w:tr>
      <w:tr>
        <w:tblPrEx>
          <w:tblW w:w="10386" w:type="dxa"/>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11</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是否提交投标保证金</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否</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12</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中小微企业有关政策</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bCs/>
                <w:sz w:val="24"/>
              </w:rPr>
            </w:pPr>
            <w:r>
              <w:rPr>
                <w:rFonts w:ascii="宋体" w:cs="微软雅黑" w:hint="eastAsia"/>
                <w:bCs/>
                <w:sz w:val="24"/>
              </w:rPr>
              <w:t>根据《财政部、工业和信息化部关于印发&lt;政府采购促进中小企业发展管理办法&gt;的通知》（财库〔2020〕46 号）、《关于进一步加大政府采购支持中小企业力度的通知》（财库〔2022〕19号）的规定，</w:t>
            </w:r>
            <w:r>
              <w:rPr>
                <w:rFonts w:ascii="宋体" w:hint="eastAsia"/>
                <w:sz w:val="24"/>
              </w:rPr>
              <w:t>本项目专门面向中小企业采购，不执行小微企业价格扣除</w:t>
            </w:r>
            <w:r>
              <w:rPr>
                <w:rFonts w:ascii="宋体" w:cs="微软雅黑" w:hint="eastAsia"/>
                <w:bCs/>
                <w:sz w:val="24"/>
              </w:rPr>
              <w:t>。</w:t>
            </w:r>
          </w:p>
          <w:p>
            <w:pPr>
              <w:tabs>
                <w:tab w:val="left" w:pos="588"/>
              </w:tabs>
              <w:autoSpaceDN w:val="0"/>
              <w:spacing w:line="360" w:lineRule="auto"/>
              <w:ind w:left="1"/>
              <w:rPr>
                <w:rFonts w:ascii="宋体" w:cs="微软雅黑"/>
                <w:bCs/>
                <w:sz w:val="24"/>
              </w:rPr>
            </w:pPr>
            <w:r>
              <w:rPr>
                <w:rFonts w:ascii="宋体" w:cs="微软雅黑" w:hint="eastAsia"/>
                <w:bCs/>
                <w:sz w:val="24"/>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bCs/>
                <w:sz w:val="24"/>
              </w:rPr>
            </w:pPr>
            <w:r>
              <w:rPr>
                <w:rFonts w:ascii="宋体" w:cs="微软雅黑" w:hint="eastAsia"/>
                <w:bCs/>
                <w:sz w:val="24"/>
              </w:rPr>
              <w:t>符合享受政府采购支持政策的残疾人福利性单位条件且提供《残疾人福利性单位声明函》的，视同为小型和微型企业。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13</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节能环保有关政策</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bCs/>
                <w:sz w:val="24"/>
              </w:rPr>
            </w:pPr>
            <w:r>
              <w:rPr>
                <w:rFonts w:ascii="宋体" w:cs="微软雅黑" w:hint="eastAsia"/>
                <w:bCs/>
                <w:sz w:val="24"/>
              </w:rPr>
              <w:t>（1）</w:t>
            </w:r>
            <w:r>
              <w:rPr>
                <w:rFonts w:ascii="宋体" w:hint="eastAsia"/>
                <w:sz w:val="24"/>
              </w:rPr>
              <w:t>★</w:t>
            </w:r>
            <w:r>
              <w:rPr>
                <w:rFonts w:ascii="宋体" w:cs="微软雅黑" w:hint="eastAsia"/>
                <w:bCs/>
                <w:sz w:val="24"/>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bCs/>
                <w:sz w:val="24"/>
              </w:rPr>
            </w:pPr>
            <w:r>
              <w:rPr>
                <w:rFonts w:ascii="宋体" w:cs="微软雅黑" w:hint="eastAsia"/>
                <w:bCs/>
                <w:sz w:val="24"/>
              </w:rPr>
              <w:t>（2）属于政府优先采购产品类别的，须按照要求提供依据国家确定的认证机构出具的、处于有效期之内的节能产品或环境标志产品认证证书，否则不予认定。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14</w:t>
            </w:r>
          </w:p>
        </w:tc>
        <w:tc>
          <w:tcPr>
            <w:tcW w:w="2101"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信用记录查询</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资格审查时，通过“信用中国”网站(www.creditchina.gov.cn)、中国政府采购网(</w:t>
            </w:r>
            <w:hyperlink r:id="rId4" w:history="1">
              <w:r>
                <w:rPr>
                  <w:rFonts w:ascii="宋体" w:cs="微软雅黑" w:hint="eastAsia"/>
                  <w:bCs/>
                  <w:sz w:val="24"/>
                </w:rPr>
                <w:t>www.ccgp.gov.cn</w:t>
              </w:r>
            </w:hyperlink>
            <w:r>
              <w:rPr>
                <w:rFonts w:ascii="宋体" w:cs="微软雅黑" w:hint="eastAsia"/>
                <w:bCs/>
                <w:sz w:val="24"/>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rPr>
              <w:t>〔</w:t>
            </w:r>
            <w:r>
              <w:rPr>
                <w:rFonts w:ascii="宋体" w:cs="微软雅黑" w:hint="eastAsia"/>
                <w:bCs/>
                <w:sz w:val="24"/>
              </w:rPr>
              <w:t>2022</w:t>
            </w:r>
            <w:r>
              <w:rPr>
                <w:rFonts w:ascii="方正仿宋_GBK" w:eastAsia="方正仿宋_GBK" w:cs="微软雅黑" w:hint="eastAsia"/>
                <w:bCs/>
                <w:sz w:val="24"/>
              </w:rPr>
              <w:t>〕</w:t>
            </w:r>
            <w:r>
              <w:rPr>
                <w:rFonts w:ascii="宋体" w:cs="微软雅黑" w:hint="eastAsia"/>
                <w:bCs/>
                <w:sz w:val="24"/>
              </w:rPr>
              <w:t>3号文件，较大数额的罚款，认定为200万元以上的罚款，法律、行政法规以及国务院有关部门明确规定相关领域“较大数额罚款”标准高于200万元的，从其规定。</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15</w:t>
            </w:r>
          </w:p>
        </w:tc>
        <w:tc>
          <w:tcPr>
            <w:tcW w:w="2101" w:type="dxa"/>
            <w:vMerge w:val="restart"/>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采购资金的支付方式、时间和条件</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详见第五部分</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bCs/>
                <w:sz w:val="24"/>
              </w:rPr>
            </w:pPr>
            <w:r>
              <w:rPr>
                <w:rFonts w:ascii="Arial" w:hAnsi="Arial"/>
                <w:sz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资金支付等事项按照《保障中小企业款项支付条例》（国务院令第728号）要求执行。</w:t>
            </w:r>
          </w:p>
        </w:tc>
      </w:tr>
    </w:tbl>
    <w:p>
      <w:pPr>
        <w:tabs>
          <w:tab w:val="left" w:pos="588"/>
        </w:tabs>
        <w:autoSpaceDN w:val="0"/>
        <w:spacing w:line="360" w:lineRule="auto"/>
        <w:ind w:left="1"/>
        <w:rPr>
          <w:rFonts w:ascii="宋体" w:cs="微软雅黑"/>
          <w:bCs/>
          <w:sz w:val="24"/>
        </w:rPr>
      </w:pPr>
    </w:p>
    <w:p>
      <w:pPr>
        <w:tabs>
          <w:tab w:val="left" w:pos="588"/>
        </w:tabs>
        <w:autoSpaceDN w:val="0"/>
        <w:spacing w:line="360" w:lineRule="auto"/>
        <w:ind w:left="1"/>
        <w:rPr>
          <w:rFonts w:ascii="宋体" w:cs="微软雅黑"/>
          <w:bCs/>
          <w:sz w:val="24"/>
        </w:rPr>
      </w:pPr>
      <w:r>
        <w:rPr>
          <w:rFonts w:ascii="宋体" w:cs="微软雅黑" w:hint="eastAsia"/>
          <w:bCs/>
          <w:sz w:val="24"/>
        </w:rPr>
        <w:t xml:space="preserve">注： ①上表中加 </w:t>
      </w:r>
      <w:r>
        <w:rPr>
          <w:rFonts w:ascii="宋体" w:hint="eastAsia"/>
          <w:sz w:val="24"/>
        </w:rPr>
        <w:t>★</w:t>
      </w:r>
      <w:r>
        <w:rPr>
          <w:rFonts w:ascii="宋体" w:cs="微软雅黑" w:hint="eastAsia"/>
          <w:bCs/>
          <w:sz w:val="24"/>
        </w:rPr>
        <w:t>项目若有缺失或无效，投标将被拒绝或投标无效且不允许在开标后补正；</w:t>
      </w:r>
    </w:p>
    <w:p>
      <w:pPr>
        <w:tabs>
          <w:tab w:val="left" w:pos="588"/>
        </w:tabs>
        <w:autoSpaceDN w:val="0"/>
        <w:spacing w:line="360" w:lineRule="auto"/>
        <w:ind w:left="1"/>
        <w:rPr>
          <w:rFonts w:ascii="宋体" w:cs="微软雅黑"/>
          <w:bCs/>
          <w:sz w:val="24"/>
        </w:rPr>
      </w:pPr>
      <w:r>
        <w:rPr>
          <w:rFonts w:ascii="宋体" w:cs="微软雅黑" w:hint="eastAsia"/>
          <w:bCs/>
          <w:sz w:val="24"/>
        </w:rPr>
        <w:t>②要求提供扫描件的，照片、图片等电子文件与扫描件效力相等；</w:t>
      </w:r>
    </w:p>
    <w:p>
      <w:pPr>
        <w:tabs>
          <w:tab w:val="left" w:pos="588"/>
        </w:tabs>
        <w:autoSpaceDN w:val="0"/>
        <w:spacing w:line="360" w:lineRule="auto"/>
        <w:ind w:left="1"/>
        <w:rPr>
          <w:rFonts w:ascii="宋体" w:cs="微软雅黑"/>
          <w:bCs/>
          <w:sz w:val="24"/>
        </w:rPr>
      </w:pPr>
      <w:r>
        <w:rPr>
          <w:rFonts w:ascii="宋体" w:cs="微软雅黑" w:hint="eastAsia"/>
          <w:bCs/>
          <w:sz w:val="24"/>
        </w:rPr>
        <w:t>③上表中未加“</w:t>
      </w:r>
      <w:r>
        <w:rPr>
          <w:rFonts w:ascii="宋体" w:hint="eastAsia"/>
          <w:sz w:val="24"/>
        </w:rPr>
        <w:t>★</w:t>
      </w:r>
      <w:r>
        <w:rPr>
          <w:rFonts w:ascii="宋体" w:cs="微软雅黑" w:hint="eastAsia"/>
          <w:bCs/>
          <w:sz w:val="24"/>
        </w:rPr>
        <w:t>”且无法律法规明确规定的不得作为投标被拒绝或投标无效条款；</w:t>
      </w:r>
    </w:p>
    <w:p>
      <w:pPr>
        <w:tabs>
          <w:tab w:val="left" w:pos="588"/>
        </w:tabs>
        <w:autoSpaceDN w:val="0"/>
        <w:spacing w:line="360" w:lineRule="auto"/>
        <w:ind w:left="1"/>
        <w:rPr>
          <w:rFonts w:ascii="宋体" w:cs="微软雅黑"/>
          <w:bCs/>
          <w:sz w:val="24"/>
        </w:rPr>
      </w:pPr>
      <w:r>
        <w:rPr>
          <w:rFonts w:ascii="宋体" w:cs="微软雅黑" w:hint="eastAsia"/>
          <w:bCs/>
          <w:sz w:val="24"/>
        </w:rPr>
        <w:t>④投标人须知前附表内容如与招标文件其他部分不一致，以投标人须知前附表为准。</w:t>
      </w:r>
    </w:p>
    <w:p>
      <w:pPr>
        <w:tabs>
          <w:tab w:val="left" w:pos="588"/>
        </w:tabs>
        <w:autoSpaceDN w:val="0"/>
        <w:spacing w:line="360" w:lineRule="auto"/>
        <w:ind w:left="1"/>
        <w:rPr>
          <w:rFonts w:ascii="宋体" w:cs="微软雅黑"/>
          <w:bCs/>
          <w:sz w:val="24"/>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
      <w:pPr>
        <w:autoSpaceDN w:val="0"/>
        <w:spacing w:line="360" w:lineRule="auto"/>
        <w:jc w:val="center"/>
        <w:outlineLvl w:val="2"/>
        <w:rPr>
          <w:rFonts w:ascii="宋体"/>
          <w:b/>
          <w:bCs/>
          <w:sz w:val="30"/>
          <w:szCs w:val="30"/>
        </w:rPr>
      </w:pPr>
      <w:r>
        <w:rPr>
          <w:rFonts w:ascii="宋体" w:hint="eastAsia"/>
          <w:b/>
          <w:bCs/>
          <w:sz w:val="30"/>
          <w:szCs w:val="30"/>
          <w:highlight w:val="white"/>
        </w:rPr>
        <w:t>一、总则</w:t>
      </w:r>
    </w:p>
    <w:p>
      <w:pPr>
        <w:autoSpaceDN w:val="0"/>
        <w:spacing w:line="360" w:lineRule="auto"/>
        <w:rPr>
          <w:rFonts w:ascii="宋体"/>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sz w:val="24"/>
          <w:lang w:eastAsia="zh-CN"/>
        </w:rPr>
      </w:pPr>
      <w:r>
        <w:rPr>
          <w:rFonts w:ascii="宋体" w:hint="eastAsia"/>
          <w:sz w:val="24"/>
          <w:lang w:eastAsia="zh-CN"/>
        </w:rPr>
        <w:t>项目说明见“投标须知前附表”。</w:t>
      </w:r>
    </w:p>
    <w:p>
      <w:pPr>
        <w:autoSpaceDN w:val="0"/>
        <w:spacing w:line="360" w:lineRule="auto"/>
        <w:rPr>
          <w:rFonts w:ascii="宋体"/>
          <w:b/>
          <w:bCs/>
          <w:sz w:val="24"/>
        </w:rPr>
      </w:pPr>
      <w:r>
        <w:rPr>
          <w:rFonts w:ascii="宋体" w:hint="eastAsia"/>
          <w:b/>
          <w:bCs/>
          <w:sz w:val="24"/>
          <w:highlight w:val="white"/>
        </w:rPr>
        <w:t>2.定义</w:t>
      </w:r>
    </w:p>
    <w:p>
      <w:pPr>
        <w:tabs>
          <w:tab w:val="left" w:pos="588"/>
        </w:tabs>
        <w:autoSpaceDN w:val="0"/>
        <w:spacing w:line="360" w:lineRule="auto"/>
        <w:rPr>
          <w:rFonts w:ascii="宋体"/>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rPr>
        <w:t>深圳海关</w:t>
      </w:r>
      <w:bookmarkEnd w:id="25"/>
      <w:r>
        <w:rPr>
          <w:rFonts w:ascii="宋体" w:hint="eastAsia"/>
          <w:sz w:val="24"/>
        </w:rPr>
        <w:t>。</w:t>
      </w:r>
    </w:p>
    <w:p>
      <w:pPr>
        <w:tabs>
          <w:tab w:val="left" w:pos="588"/>
        </w:tabs>
        <w:autoSpaceDN w:val="0"/>
        <w:spacing w:line="360" w:lineRule="auto"/>
        <w:rPr>
          <w:rFonts w:ascii="宋体"/>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kern w:val="0"/>
          <w:sz w:val="24"/>
          <w:highlight w:val="white"/>
        </w:rPr>
      </w:pPr>
      <w:r>
        <w:rPr>
          <w:rFonts w:ascii="宋体" w:hint="eastAsia"/>
          <w:kern w:val="0"/>
          <w:sz w:val="24"/>
          <w:highlight w:val="white"/>
        </w:rPr>
        <w:t>2.6“中小企业”系指满足</w:t>
      </w:r>
      <w:r>
        <w:rPr>
          <w:rFonts w:ascii="宋体" w:cs="微软雅黑" w:hint="eastAsia"/>
          <w:bCs/>
          <w:kern w:val="0"/>
          <w:sz w:val="24"/>
          <w:highlight w:val="white"/>
        </w:rPr>
        <w:t>工业和信息化部、国家统计局、国家发展和改革委员会、财政部</w:t>
      </w:r>
      <w:r>
        <w:rPr>
          <w:rFonts w:ascii="宋体" w:cs="微软雅黑" w:hint="eastAsia"/>
          <w:bCs/>
          <w:kern w:val="0"/>
          <w:sz w:val="24"/>
        </w:rPr>
        <w:t>《关于印发中小企业划型标准规定的通知》（工信部联企业〔2011〕300号）、</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kern w:val="0"/>
          <w:sz w:val="24"/>
        </w:rPr>
      </w:pPr>
      <w:r>
        <w:rPr>
          <w:rFonts w:ascii="宋体" w:hint="eastAsia"/>
          <w:kern w:val="0"/>
          <w:sz w:val="24"/>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kern w:val="0"/>
          <w:sz w:val="24"/>
        </w:rPr>
      </w:pPr>
      <w:r>
        <w:rPr>
          <w:rFonts w:ascii="宋体" w:hint="eastAsia"/>
          <w:kern w:val="0"/>
          <w:sz w:val="24"/>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kern w:val="0"/>
          <w:sz w:val="24"/>
          <w:highlight w:val="white"/>
        </w:rPr>
      </w:pPr>
      <w:r>
        <w:rPr>
          <w:rFonts w:ascii="宋体" w:hint="eastAsia"/>
          <w:kern w:val="0"/>
          <w:sz w:val="24"/>
        </w:rPr>
        <w:t>2.9节能产品、环境标志产品系指</w:t>
      </w:r>
      <w:r>
        <w:rPr>
          <w:rFonts w:ascii="宋体" w:cs="微软雅黑" w:hint="eastAsia"/>
          <w:kern w:val="0"/>
          <w:sz w:val="24"/>
        </w:rPr>
        <w:t>《财政部 发展改革委 生态环境部 市场监管总局关于调整优化节能产品、环境标志产品政府采购执行机制的通知》（财库〔2019〕9号）规定的产品。</w:t>
      </w:r>
    </w:p>
    <w:p>
      <w:pPr>
        <w:autoSpaceDN w:val="0"/>
        <w:spacing w:line="360" w:lineRule="auto"/>
        <w:rPr>
          <w:rFonts w:ascii="宋体"/>
          <w:b/>
          <w:bCs/>
          <w:sz w:val="24"/>
        </w:rPr>
      </w:pPr>
      <w:r>
        <w:rPr>
          <w:rFonts w:ascii="宋体" w:hint="eastAsia"/>
          <w:b/>
          <w:bCs/>
          <w:sz w:val="24"/>
          <w:highlight w:val="white"/>
        </w:rPr>
        <w:t>3.合格的投标人</w:t>
      </w:r>
    </w:p>
    <w:p>
      <w:pPr>
        <w:tabs>
          <w:tab w:val="left" w:pos="588"/>
        </w:tabs>
        <w:autoSpaceDN w:val="0"/>
        <w:spacing w:line="360" w:lineRule="auto"/>
        <w:rPr>
          <w:rFonts w:ascii="宋体"/>
          <w:sz w:val="24"/>
        </w:rPr>
      </w:pPr>
      <w:r>
        <w:rPr>
          <w:rFonts w:ascii="宋体" w:hint="eastAsia"/>
          <w:sz w:val="24"/>
        </w:rPr>
        <w:t>3.1投标人应符合招标公告中规定的资质要求。</w:t>
      </w:r>
    </w:p>
    <w:p>
      <w:pPr>
        <w:tabs>
          <w:tab w:val="left" w:pos="588"/>
        </w:tabs>
        <w:autoSpaceDN w:val="0"/>
        <w:spacing w:line="360" w:lineRule="auto"/>
        <w:rPr>
          <w:rFonts w:ascii="宋体"/>
          <w:sz w:val="24"/>
        </w:rPr>
      </w:pPr>
      <w:r>
        <w:rPr>
          <w:rFonts w:ascii="宋体" w:hint="eastAsia"/>
          <w:sz w:val="24"/>
        </w:rPr>
        <w:t>3.2投标人应遵守《中华人民共和国政府采购法》及其他有关的中国法律和法规。</w:t>
      </w:r>
    </w:p>
    <w:p>
      <w:pPr>
        <w:autoSpaceDN w:val="0"/>
        <w:spacing w:line="360" w:lineRule="auto"/>
        <w:rPr>
          <w:rFonts w:ascii="宋体"/>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b/>
          <w:bCs/>
          <w:sz w:val="24"/>
          <w:highlight w:val="white"/>
        </w:rPr>
      </w:pPr>
      <w:r>
        <w:rPr>
          <w:rFonts w:ascii="宋体" w:hint="eastAsia"/>
          <w:b/>
          <w:bCs/>
          <w:sz w:val="24"/>
          <w:highlight w:val="white"/>
        </w:rPr>
        <w:t>5.通知</w:t>
      </w:r>
    </w:p>
    <w:p>
      <w:pPr>
        <w:tabs>
          <w:tab w:val="left" w:pos="0"/>
        </w:tabs>
        <w:autoSpaceDN w:val="0"/>
        <w:spacing w:line="360" w:lineRule="auto"/>
        <w:rPr>
          <w:rFonts w:ascii="宋体"/>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b/>
          <w:bCs/>
          <w:sz w:val="24"/>
        </w:rPr>
      </w:pPr>
      <w:r>
        <w:rPr>
          <w:rFonts w:ascii="宋体" w:hint="eastAsia"/>
          <w:b/>
          <w:bCs/>
          <w:sz w:val="24"/>
        </w:rPr>
        <w:t>6.招标文件的构成</w:t>
      </w:r>
    </w:p>
    <w:p>
      <w:pPr>
        <w:autoSpaceDN w:val="0"/>
        <w:spacing w:line="360" w:lineRule="auto"/>
        <w:rPr>
          <w:rFonts w:ascii="宋体"/>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sz w:val="24"/>
        </w:rPr>
      </w:pPr>
      <w:r>
        <w:rPr>
          <w:rFonts w:ascii="宋体" w:hint="eastAsia"/>
          <w:sz w:val="24"/>
        </w:rPr>
        <w:t>第一部分 招标公告</w:t>
      </w:r>
    </w:p>
    <w:p>
      <w:pPr>
        <w:autoSpaceDN w:val="0"/>
        <w:spacing w:line="360" w:lineRule="auto"/>
        <w:ind w:firstLine="480" w:firstLineChars="200"/>
        <w:rPr>
          <w:rFonts w:ascii="宋体"/>
          <w:sz w:val="24"/>
        </w:rPr>
      </w:pPr>
      <w:r>
        <w:rPr>
          <w:rFonts w:ascii="宋体" w:hint="eastAsia"/>
          <w:sz w:val="24"/>
        </w:rPr>
        <w:t>第二部分 投标人须知</w:t>
      </w:r>
    </w:p>
    <w:p>
      <w:pPr>
        <w:autoSpaceDN w:val="0"/>
        <w:spacing w:line="360" w:lineRule="auto"/>
        <w:ind w:firstLine="480" w:firstLineChars="200"/>
        <w:rPr>
          <w:rFonts w:ascii="宋体"/>
          <w:sz w:val="24"/>
        </w:rPr>
      </w:pPr>
      <w:r>
        <w:rPr>
          <w:rFonts w:ascii="宋体" w:hint="eastAsia"/>
          <w:sz w:val="24"/>
        </w:rPr>
        <w:t>第三部分 项目需求书</w:t>
      </w:r>
    </w:p>
    <w:p>
      <w:pPr>
        <w:autoSpaceDN w:val="0"/>
        <w:spacing w:line="360" w:lineRule="auto"/>
        <w:ind w:firstLine="480" w:firstLineChars="200"/>
        <w:rPr>
          <w:rFonts w:ascii="宋体"/>
          <w:sz w:val="24"/>
        </w:rPr>
      </w:pPr>
      <w:r>
        <w:rPr>
          <w:rFonts w:ascii="宋体" w:hint="eastAsia"/>
          <w:sz w:val="24"/>
        </w:rPr>
        <w:t>第四部分 评审标准</w:t>
      </w:r>
    </w:p>
    <w:p>
      <w:pPr>
        <w:autoSpaceDN w:val="0"/>
        <w:spacing w:line="360" w:lineRule="auto"/>
        <w:ind w:firstLine="480" w:firstLineChars="200"/>
        <w:rPr>
          <w:rFonts w:ascii="宋体"/>
          <w:sz w:val="24"/>
        </w:rPr>
      </w:pPr>
      <w:r>
        <w:rPr>
          <w:rFonts w:ascii="宋体" w:hint="eastAsia"/>
          <w:sz w:val="24"/>
        </w:rPr>
        <w:t>第五部分 合同文本</w:t>
      </w:r>
    </w:p>
    <w:p>
      <w:pPr>
        <w:autoSpaceDN w:val="0"/>
        <w:spacing w:line="360" w:lineRule="auto"/>
        <w:ind w:firstLine="480" w:firstLineChars="200"/>
        <w:rPr>
          <w:rFonts w:ascii="宋体"/>
          <w:sz w:val="24"/>
        </w:rPr>
      </w:pPr>
      <w:r>
        <w:rPr>
          <w:rFonts w:ascii="宋体" w:hint="eastAsia"/>
          <w:sz w:val="24"/>
        </w:rPr>
        <w:t>第六部分 投标文件格式</w:t>
      </w:r>
    </w:p>
    <w:p>
      <w:pPr>
        <w:autoSpaceDN w:val="0"/>
        <w:spacing w:line="360" w:lineRule="auto"/>
        <w:rPr>
          <w:rFonts w:ascii="宋体"/>
          <w:b/>
          <w:bCs/>
          <w:sz w:val="24"/>
        </w:rPr>
      </w:pPr>
      <w:r>
        <w:rPr>
          <w:rFonts w:ascii="宋体" w:hint="eastAsia"/>
          <w:b/>
          <w:bCs/>
          <w:sz w:val="24"/>
        </w:rPr>
        <w:t>7.招标文件的询问、澄清和修改</w:t>
      </w:r>
    </w:p>
    <w:p>
      <w:pPr>
        <w:pStyle w:val="105"/>
        <w:spacing w:line="360" w:lineRule="auto"/>
        <w:ind w:firstLine="0" w:firstLineChars="0"/>
        <w:jc w:val="both"/>
        <w:textAlignment w:val="auto"/>
        <w:rPr>
          <w:rFonts w:ascii="宋体"/>
          <w:color w:val="000000"/>
        </w:rPr>
      </w:pPr>
      <w:r>
        <w:rPr>
          <w:rFonts w:ascii="宋体" w:hint="eastAsia"/>
          <w:color w:val="000000"/>
        </w:rPr>
        <w:t>7.1询问</w:t>
      </w:r>
    </w:p>
    <w:p>
      <w:pPr>
        <w:pStyle w:val="105"/>
        <w:spacing w:line="360" w:lineRule="auto"/>
        <w:ind w:firstLine="0" w:firstLineChars="0"/>
        <w:jc w:val="both"/>
        <w:textAlignment w:val="auto"/>
        <w:rPr>
          <w:rFonts w:ascii="宋体" w:cs="微软雅黑"/>
          <w:bCs/>
          <w:color w:val="auto"/>
          <w:kern w:val="2"/>
          <w:szCs w:val="24"/>
          <w:highlight w:val="yellow"/>
        </w:rPr>
      </w:pPr>
      <w:r>
        <w:rPr>
          <w:rFonts w:ascii="宋体" w:hint="eastAsia"/>
          <w:color w:val="000000"/>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rPr>
        <w:t>（</w:t>
      </w:r>
      <w:r>
        <w:rPr>
          <w:rFonts w:ascii="宋体" w:cs="微软雅黑" w:hint="eastAsia"/>
          <w:color w:val="auto"/>
          <w:kern w:val="2"/>
          <w:szCs w:val="24"/>
        </w:rPr>
        <w:t>投标人对政府采购过程、中标公告结果有疑问的，可以向采购人或采购机构提出询问，采购人或者采购机构应当在3个工作日内对供应商依法提出的询问作出答复）。</w:t>
      </w:r>
    </w:p>
    <w:p>
      <w:pPr>
        <w:autoSpaceDN w:val="0"/>
        <w:spacing w:line="360" w:lineRule="auto"/>
        <w:rPr>
          <w:rFonts w:ascii="宋体"/>
          <w:sz w:val="24"/>
        </w:rPr>
      </w:pPr>
      <w:r>
        <w:rPr>
          <w:rFonts w:ascii="宋体" w:hint="eastAsia"/>
          <w:sz w:val="24"/>
        </w:rPr>
        <w:t>7.2澄清和修改</w:t>
      </w:r>
    </w:p>
    <w:p>
      <w:pPr>
        <w:autoSpaceDN w:val="0"/>
        <w:adjustRightInd w:val="0"/>
        <w:spacing w:line="360" w:lineRule="auto"/>
        <w:textAlignment w:val="baseline"/>
        <w:rPr>
          <w:rFonts w:ascii="宋体"/>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b/>
          <w:bCs/>
          <w:sz w:val="24"/>
        </w:rPr>
      </w:pPr>
      <w:r>
        <w:rPr>
          <w:rFonts w:ascii="宋体" w:hint="eastAsia"/>
          <w:b/>
          <w:bCs/>
          <w:sz w:val="24"/>
        </w:rPr>
        <w:t>8.投标语言</w:t>
      </w:r>
    </w:p>
    <w:p>
      <w:pPr>
        <w:autoSpaceDN w:val="0"/>
        <w:spacing w:line="360" w:lineRule="auto"/>
        <w:ind w:left="480" w:hanging="480" w:hangingChars="200"/>
        <w:rPr>
          <w:rFonts w:ascii="宋体"/>
          <w:sz w:val="24"/>
        </w:rPr>
      </w:pPr>
      <w:r>
        <w:rPr>
          <w:rFonts w:ascii="宋体" w:hint="eastAsia"/>
          <w:sz w:val="24"/>
        </w:rPr>
        <w:t>8.1投标文件及与投标相关的所有文件均应以中文书写。</w:t>
      </w:r>
    </w:p>
    <w:p>
      <w:pPr>
        <w:autoSpaceDN w:val="0"/>
        <w:spacing w:line="360" w:lineRule="auto"/>
        <w:rPr>
          <w:rFonts w:ascii="宋体"/>
          <w:b/>
          <w:bCs/>
          <w:sz w:val="24"/>
        </w:rPr>
      </w:pPr>
      <w:r>
        <w:rPr>
          <w:rFonts w:ascii="宋体" w:hint="eastAsia"/>
          <w:b/>
          <w:bCs/>
          <w:sz w:val="24"/>
        </w:rPr>
        <w:t>9.计量单位</w:t>
      </w:r>
    </w:p>
    <w:p>
      <w:pPr>
        <w:autoSpaceDN w:val="0"/>
        <w:spacing w:line="360" w:lineRule="auto"/>
        <w:ind w:left="1"/>
        <w:rPr>
          <w:rFonts w:ascii="宋体"/>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b/>
          <w:bCs/>
          <w:sz w:val="24"/>
        </w:rPr>
      </w:pPr>
      <w:r>
        <w:rPr>
          <w:rFonts w:ascii="宋体" w:hint="eastAsia"/>
          <w:b/>
          <w:bCs/>
          <w:sz w:val="24"/>
        </w:rPr>
        <w:t>10. 投标文件的组成</w:t>
      </w:r>
    </w:p>
    <w:p>
      <w:pPr>
        <w:autoSpaceDN w:val="0"/>
        <w:spacing w:line="360" w:lineRule="auto"/>
        <w:rPr>
          <w:rFonts w:ascii="宋体"/>
          <w:sz w:val="24"/>
        </w:rPr>
      </w:pPr>
      <w:r>
        <w:rPr>
          <w:rFonts w:ascii="宋体" w:hint="eastAsia"/>
          <w:sz w:val="24"/>
        </w:rPr>
        <w:t>投标人编写的投标文件应包括以下两类文件：</w:t>
      </w:r>
    </w:p>
    <w:p>
      <w:pPr>
        <w:tabs>
          <w:tab w:val="left" w:pos="588"/>
        </w:tabs>
        <w:autoSpaceDN w:val="0"/>
        <w:spacing w:line="360" w:lineRule="auto"/>
        <w:rPr>
          <w:rFonts w:ascii="宋体"/>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kern w:val="0"/>
          <w:sz w:val="24"/>
          <w:szCs w:val="21"/>
          <w:highlight w:val="yellow"/>
        </w:rPr>
      </w:pPr>
      <w:r>
        <w:rPr>
          <w:rFonts w:ascii="Times New Roman" w:hAnsi="Times New Roman" w:hint="eastAsia"/>
          <w:kern w:val="0"/>
          <w:sz w:val="24"/>
          <w:szCs w:val="21"/>
        </w:rPr>
        <w:t>（一）投标人资格</w:t>
      </w:r>
      <w:r>
        <w:rPr>
          <w:rFonts w:ascii="Times New Roman" w:hAnsi="Times New Roman"/>
          <w:kern w:val="0"/>
          <w:sz w:val="24"/>
          <w:szCs w:val="21"/>
        </w:rPr>
        <w:t>审查材料包括：投标人资格审查一览表（格式见第六部分）、联合体投标协议书。（加盖投标人电子签章）</w:t>
      </w:r>
    </w:p>
    <w:p>
      <w:pPr>
        <w:tabs>
          <w:tab w:val="left" w:pos="588"/>
        </w:tabs>
        <w:autoSpaceDN w:val="0"/>
        <w:spacing w:line="360" w:lineRule="auto"/>
        <w:rPr>
          <w:rFonts w:ascii="宋体"/>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b/>
          <w:bCs/>
          <w:sz w:val="24"/>
        </w:rPr>
      </w:pPr>
      <w:r>
        <w:rPr>
          <w:rFonts w:ascii="宋体" w:hint="eastAsia"/>
          <w:b/>
          <w:bCs/>
          <w:sz w:val="24"/>
        </w:rPr>
        <w:t>★（一）基本文件</w:t>
      </w:r>
    </w:p>
    <w:p>
      <w:pPr>
        <w:tabs>
          <w:tab w:val="left" w:pos="588"/>
        </w:tabs>
        <w:autoSpaceDN w:val="0"/>
        <w:spacing w:line="360" w:lineRule="auto"/>
        <w:rPr>
          <w:rFonts w:ascii="宋体"/>
          <w:sz w:val="24"/>
        </w:rPr>
      </w:pPr>
      <w:r>
        <w:rPr>
          <w:rFonts w:ascii="宋体" w:hint="eastAsia"/>
          <w:sz w:val="24"/>
        </w:rPr>
        <w:t>（1）投标函，格式见第六部分（加盖投标人电子签章）。</w:t>
      </w:r>
    </w:p>
    <w:p>
      <w:pPr>
        <w:tabs>
          <w:tab w:val="left" w:pos="588"/>
        </w:tabs>
        <w:autoSpaceDN w:val="0"/>
        <w:spacing w:line="360" w:lineRule="auto"/>
        <w:rPr>
          <w:rFonts w:ascii="宋体"/>
          <w:sz w:val="24"/>
        </w:rPr>
      </w:pPr>
      <w:r>
        <w:rPr>
          <w:rFonts w:ascii="宋体" w:hint="eastAsia"/>
          <w:sz w:val="24"/>
        </w:rPr>
        <w:t>（2）开标一览表，格式见第六部分（加盖投标人电子签章）。</w:t>
      </w:r>
    </w:p>
    <w:p>
      <w:pPr>
        <w:tabs>
          <w:tab w:val="left" w:pos="588"/>
        </w:tabs>
        <w:autoSpaceDN w:val="0"/>
        <w:spacing w:line="360" w:lineRule="auto"/>
        <w:rPr>
          <w:rFonts w:ascii="宋体"/>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b/>
          <w:bCs/>
          <w:sz w:val="24"/>
        </w:rPr>
      </w:pPr>
      <w:r>
        <w:rPr>
          <w:rFonts w:ascii="宋体" w:hint="eastAsia"/>
          <w:b/>
          <w:bCs/>
          <w:sz w:val="24"/>
        </w:rPr>
        <w:t>（二）商务资质证明文件</w:t>
      </w:r>
    </w:p>
    <w:p>
      <w:pPr>
        <w:tabs>
          <w:tab w:val="left" w:pos="0"/>
        </w:tabs>
        <w:autoSpaceDN w:val="0"/>
        <w:spacing w:line="360" w:lineRule="auto"/>
        <w:rPr>
          <w:rFonts w:ascii="宋体"/>
          <w:sz w:val="24"/>
        </w:rPr>
      </w:pPr>
      <w:bookmarkStart w:id="26" w:name="商务资质证明文件"/>
      <w:r>
        <w:rPr>
          <w:rFonts w:ascii="宋体" w:hint="eastAsia"/>
          <w:sz w:val="24"/>
        </w:rPr>
        <w:t>★（1）《商务偏离表》，格式见第六部分（加盖投标人电子签章）。</w:t>
      </w:r>
    </w:p>
    <w:p>
      <w:pPr>
        <w:tabs>
          <w:tab w:val="left" w:pos="0"/>
        </w:tabs>
        <w:autoSpaceDN w:val="0"/>
        <w:spacing w:line="360" w:lineRule="auto"/>
        <w:rPr>
          <w:rFonts w:ascii="宋体"/>
          <w:sz w:val="24"/>
        </w:rPr>
      </w:pPr>
      <w:r>
        <w:rPr>
          <w:rFonts w:ascii="宋体" w:hint="eastAsia"/>
          <w:sz w:val="24"/>
        </w:rPr>
        <w:t>★（2）本项目专门面向中小企业。投标人提供的服务须全部由符合政策要求的中小企业承接，须提供《中小企业声明函》，格式见第六部分；</w:t>
      </w:r>
    </w:p>
    <w:p>
      <w:pPr>
        <w:tabs>
          <w:tab w:val="left" w:pos="0"/>
        </w:tabs>
        <w:autoSpaceDN w:val="0"/>
        <w:spacing w:line="360" w:lineRule="auto"/>
        <w:rPr>
          <w:rFonts w:ascii="宋体"/>
          <w:sz w:val="24"/>
        </w:rPr>
      </w:pPr>
      <w:r>
        <w:rPr>
          <w:rFonts w:ascii="宋体" w:hint="eastAsia"/>
          <w:sz w:val="24"/>
        </w:rPr>
        <w:t>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宋体"/>
          <w:sz w:val="24"/>
        </w:rPr>
      </w:pPr>
      <w:r>
        <w:rPr>
          <w:rFonts w:ascii="宋体" w:hint="eastAsia"/>
          <w:sz w:val="24"/>
        </w:rPr>
        <w:t>（3）投标人提供 2022年5 月1 日起至本项目招标公告发布之日止（以合同签订日期为准），与本项目同类技术支持服务项目业绩相关材料，具体要求详见评分标准（加盖投标人电子签章）。</w:t>
      </w:r>
    </w:p>
    <w:p>
      <w:pPr>
        <w:tabs>
          <w:tab w:val="left" w:pos="0"/>
        </w:tabs>
        <w:autoSpaceDN w:val="0"/>
        <w:spacing w:line="360" w:lineRule="auto"/>
        <w:rPr>
          <w:rFonts w:ascii="宋体"/>
          <w:sz w:val="24"/>
        </w:rPr>
      </w:pPr>
      <w:r>
        <w:rPr>
          <w:rFonts w:ascii="宋体" w:hint="eastAsia"/>
          <w:sz w:val="24"/>
        </w:rPr>
        <w:t>（4）投标人满足投标人资格标准的其他必要资格证明文件（如有）（加盖投标人电子签章）。</w:t>
      </w:r>
      <w:bookmarkEnd w:id="26"/>
    </w:p>
    <w:p>
      <w:pPr>
        <w:tabs>
          <w:tab w:val="left" w:pos="0"/>
        </w:tabs>
        <w:autoSpaceDN w:val="0"/>
        <w:spacing w:line="360" w:lineRule="auto"/>
        <w:rPr>
          <w:rFonts w:ascii="宋体"/>
          <w:color w:val="FF0000"/>
          <w:sz w:val="24"/>
        </w:rPr>
      </w:pPr>
      <w:r>
        <w:rPr>
          <w:rFonts w:ascii="宋体" w:hint="eastAsia"/>
          <w:b/>
          <w:bCs/>
          <w:sz w:val="24"/>
        </w:rPr>
        <w:t>（三）技术应答文件</w:t>
      </w:r>
    </w:p>
    <w:p>
      <w:pPr>
        <w:tabs>
          <w:tab w:val="left" w:pos="0"/>
        </w:tabs>
        <w:autoSpaceDN w:val="0"/>
        <w:spacing w:line="360" w:lineRule="auto"/>
        <w:rPr>
          <w:rFonts w:ascii="宋体"/>
          <w:sz w:val="24"/>
        </w:rPr>
      </w:pPr>
      <w:bookmarkStart w:id="27" w:name="技术应答文件"/>
      <w:r>
        <w:rPr>
          <w:rFonts w:ascii="宋体" w:hint="eastAsia"/>
          <w:sz w:val="24"/>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宋体"/>
          <w:sz w:val="24"/>
        </w:rPr>
      </w:pPr>
      <w:r>
        <w:rPr>
          <w:rFonts w:ascii="宋体" w:hint="eastAsia"/>
          <w:sz w:val="24"/>
        </w:rPr>
        <w:t>（2）投标人按项目需求书要求进行需求理解分析，提供技术方案、实施管理方案等，具体要求见第四部分评分标准（加盖投标人电子签章）。</w:t>
      </w:r>
    </w:p>
    <w:p>
      <w:pPr>
        <w:tabs>
          <w:tab w:val="left" w:pos="0"/>
        </w:tabs>
        <w:autoSpaceDN w:val="0"/>
        <w:spacing w:line="360" w:lineRule="auto"/>
        <w:rPr>
          <w:rFonts w:ascii="宋体"/>
          <w:sz w:val="24"/>
        </w:rPr>
      </w:pPr>
      <w:r>
        <w:rPr>
          <w:rFonts w:ascii="宋体" w:hint="eastAsia"/>
          <w:sz w:val="24"/>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团队人员距开标之日3个月内任意一个月的社保证明等材料，并承诺项目周期内实施人员的稳定性（加盖投标人电子签章）。</w:t>
      </w:r>
    </w:p>
    <w:p>
      <w:pPr>
        <w:tabs>
          <w:tab w:val="left" w:pos="0"/>
        </w:tabs>
        <w:autoSpaceDN w:val="0"/>
        <w:spacing w:line="360" w:lineRule="auto"/>
        <w:rPr>
          <w:rFonts w:ascii="宋体"/>
          <w:sz w:val="24"/>
        </w:rPr>
      </w:pPr>
      <w:r>
        <w:rPr>
          <w:rFonts w:ascii="宋体" w:hint="eastAsia"/>
          <w:sz w:val="24"/>
        </w:rPr>
        <w:t>（4）投标人认为应该提供的其他证明材料。（如有）（加盖投标人电子签章）。</w:t>
      </w:r>
      <w:bookmarkEnd w:id="27"/>
    </w:p>
    <w:p>
      <w:pPr>
        <w:tabs>
          <w:tab w:val="left" w:pos="0"/>
        </w:tabs>
        <w:autoSpaceDN w:val="0"/>
        <w:spacing w:line="360" w:lineRule="auto"/>
        <w:rPr>
          <w:rFonts w:ascii="宋体"/>
          <w:sz w:val="24"/>
        </w:rPr>
      </w:pPr>
      <w:r>
        <w:rPr>
          <w:rFonts w:ascii="宋体" w:hint="eastAsia"/>
          <w:b/>
          <w:bCs/>
          <w:sz w:val="24"/>
        </w:rPr>
        <w:t>（四）服务应答文件</w:t>
      </w:r>
    </w:p>
    <w:p>
      <w:pPr>
        <w:tabs>
          <w:tab w:val="left" w:pos="0"/>
        </w:tabs>
        <w:autoSpaceDN w:val="0"/>
        <w:spacing w:line="360" w:lineRule="auto"/>
        <w:rPr>
          <w:rFonts w:ascii="宋体"/>
          <w:sz w:val="24"/>
        </w:rPr>
      </w:pPr>
      <w:bookmarkStart w:id="28" w:name="服务应答文件"/>
      <w:r>
        <w:rPr>
          <w:rFonts w:ascii="宋体" w:hint="eastAsia"/>
          <w:sz w:val="24"/>
        </w:rPr>
        <w:t>（1）投标人提供项目售后服务与技术支持方案、培训方案等，具体要求见第四部分评分标准（加盖投标人电子签章）。</w:t>
      </w:r>
    </w:p>
    <w:p>
      <w:pPr>
        <w:tabs>
          <w:tab w:val="left" w:pos="0"/>
        </w:tabs>
        <w:autoSpaceDN w:val="0"/>
        <w:spacing w:line="360" w:lineRule="auto"/>
        <w:rPr>
          <w:rFonts w:ascii="宋体"/>
          <w:sz w:val="24"/>
        </w:rPr>
      </w:pPr>
      <w:r>
        <w:rPr>
          <w:rFonts w:ascii="宋体" w:hint="eastAsia"/>
          <w:sz w:val="24"/>
        </w:rPr>
        <w:t>（2）投标人认为应该提供的证明材料（如有）（加盖投标人电子签章）。</w:t>
      </w:r>
      <w:bookmarkEnd w:id="28"/>
    </w:p>
    <w:p>
      <w:pPr>
        <w:tabs>
          <w:tab w:val="left" w:pos="0"/>
        </w:tabs>
        <w:autoSpaceDN w:val="0"/>
        <w:spacing w:line="360" w:lineRule="auto"/>
        <w:rPr>
          <w:rFonts w:ascii="宋体"/>
          <w:sz w:val="24"/>
        </w:rPr>
      </w:pPr>
      <w:r>
        <w:rPr>
          <w:rFonts w:ascii="宋体" w:hint="eastAsia"/>
          <w:b/>
          <w:sz w:val="24"/>
        </w:rPr>
        <w:t>重要提示：</w:t>
      </w:r>
    </w:p>
    <w:p>
      <w:pPr>
        <w:tabs>
          <w:tab w:val="left" w:pos="0"/>
        </w:tabs>
        <w:autoSpaceDN w:val="0"/>
        <w:spacing w:line="360" w:lineRule="auto"/>
        <w:rPr>
          <w:rFonts w:ascii="宋体"/>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b/>
          <w:bCs/>
          <w:sz w:val="24"/>
        </w:rPr>
      </w:pPr>
      <w:r>
        <w:rPr>
          <w:rFonts w:ascii="宋体" w:hint="eastAsia"/>
          <w:b/>
          <w:bCs/>
          <w:sz w:val="24"/>
        </w:rPr>
        <w:t>11.投标文件格式</w:t>
      </w:r>
    </w:p>
    <w:p>
      <w:pPr>
        <w:tabs>
          <w:tab w:val="left" w:pos="0"/>
        </w:tabs>
        <w:autoSpaceDN w:val="0"/>
        <w:spacing w:line="360" w:lineRule="auto"/>
        <w:rPr>
          <w:rFonts w:ascii="宋体"/>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b/>
          <w:bCs/>
          <w:sz w:val="24"/>
        </w:rPr>
      </w:pPr>
      <w:r>
        <w:rPr>
          <w:rFonts w:ascii="宋体" w:hint="eastAsia"/>
          <w:b/>
          <w:bCs/>
          <w:sz w:val="24"/>
        </w:rPr>
        <w:t>12.投标报价</w:t>
      </w:r>
    </w:p>
    <w:p>
      <w:pPr>
        <w:tabs>
          <w:tab w:val="left" w:pos="0"/>
        </w:tabs>
        <w:autoSpaceDN w:val="0"/>
        <w:spacing w:line="360" w:lineRule="auto"/>
        <w:rPr>
          <w:rFonts w:ascii="宋体"/>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b/>
          <w:bCs/>
          <w:sz w:val="24"/>
        </w:rPr>
      </w:pPr>
      <w:r>
        <w:rPr>
          <w:rFonts w:ascii="宋体" w:hint="eastAsia"/>
          <w:b/>
          <w:bCs/>
          <w:sz w:val="24"/>
        </w:rPr>
        <w:t>13.投标货币</w:t>
      </w:r>
    </w:p>
    <w:p>
      <w:pPr>
        <w:autoSpaceDN w:val="0"/>
        <w:spacing w:line="360" w:lineRule="auto"/>
        <w:ind w:left="1"/>
        <w:rPr>
          <w:rFonts w:ascii="宋体"/>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b/>
          <w:bCs/>
          <w:sz w:val="24"/>
        </w:rPr>
      </w:pPr>
      <w:r>
        <w:rPr>
          <w:rFonts w:ascii="宋体" w:hint="eastAsia"/>
          <w:b/>
          <w:bCs/>
          <w:sz w:val="24"/>
        </w:rPr>
        <w:t>14.投标保证金</w:t>
      </w:r>
    </w:p>
    <w:p>
      <w:pPr>
        <w:tabs>
          <w:tab w:val="left" w:pos="588"/>
        </w:tabs>
        <w:autoSpaceDN w:val="0"/>
        <w:spacing w:line="360" w:lineRule="auto"/>
        <w:rPr>
          <w:rFonts w:ascii="宋体"/>
          <w:sz w:val="24"/>
        </w:rPr>
      </w:pPr>
      <w:r>
        <w:rPr>
          <w:rFonts w:ascii="宋体" w:hint="eastAsia"/>
          <w:sz w:val="24"/>
        </w:rPr>
        <w:t>不适用</w:t>
      </w:r>
    </w:p>
    <w:p>
      <w:pPr>
        <w:tabs>
          <w:tab w:val="left" w:pos="588"/>
        </w:tabs>
        <w:autoSpaceDN w:val="0"/>
        <w:spacing w:line="360" w:lineRule="auto"/>
        <w:rPr>
          <w:rFonts w:ascii="宋体"/>
          <w:b/>
          <w:bCs/>
          <w:sz w:val="24"/>
        </w:rPr>
      </w:pPr>
      <w:r>
        <w:rPr>
          <w:rFonts w:ascii="宋体" w:hint="eastAsia"/>
          <w:b/>
          <w:bCs/>
          <w:sz w:val="24"/>
        </w:rPr>
        <w:t>15.投标有效期</w:t>
      </w:r>
    </w:p>
    <w:p>
      <w:pPr>
        <w:autoSpaceDN w:val="0"/>
        <w:spacing w:line="360" w:lineRule="auto"/>
        <w:ind w:left="1"/>
        <w:rPr>
          <w:rFonts w:ascii="宋体"/>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b/>
          <w:bCs/>
          <w:sz w:val="24"/>
        </w:rPr>
      </w:pPr>
    </w:p>
    <w:p>
      <w:pPr>
        <w:autoSpaceDN w:val="0"/>
        <w:spacing w:line="360" w:lineRule="auto"/>
        <w:rPr>
          <w:rFonts w:ascii="宋体"/>
          <w:szCs w:val="21"/>
          <w:highlight w:val="cyan"/>
        </w:rPr>
      </w:pP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四、投标文件的</w:t>
      </w:r>
      <w:r>
        <w:rPr>
          <w:rFonts w:ascii="宋体" w:hint="eastAsia"/>
          <w:b/>
          <w:bCs/>
          <w:sz w:val="30"/>
          <w:szCs w:val="30"/>
        </w:rPr>
        <w:t>提</w:t>
      </w:r>
      <w:r>
        <w:rPr>
          <w:rFonts w:ascii="宋体" w:hint="eastAsia"/>
          <w:b/>
          <w:bCs/>
          <w:sz w:val="30"/>
          <w:szCs w:val="30"/>
          <w:highlight w:val="white"/>
        </w:rPr>
        <w:t>交</w:t>
      </w:r>
    </w:p>
    <w:p>
      <w:pPr>
        <w:autoSpaceDN w:val="0"/>
        <w:spacing w:line="360" w:lineRule="auto"/>
        <w:jc w:val="center"/>
        <w:rPr>
          <w:rFonts w:ascii="宋体"/>
          <w:b/>
          <w:bCs/>
          <w:sz w:val="24"/>
        </w:rPr>
      </w:pPr>
    </w:p>
    <w:p>
      <w:pPr>
        <w:autoSpaceDN w:val="0"/>
        <w:spacing w:line="360" w:lineRule="auto"/>
        <w:rPr>
          <w:rFonts w:ascii="宋体"/>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kern w:val="20"/>
          <w:sz w:val="24"/>
          <w:szCs w:val="21"/>
          <w:lang w:val="zh-CN"/>
        </w:rPr>
      </w:pPr>
      <w:r>
        <w:rPr>
          <w:rFonts w:ascii="宋体" w:cs="微软雅黑" w:hint="eastAsia"/>
          <w:kern w:val="20"/>
          <w:sz w:val="24"/>
          <w:szCs w:val="21"/>
          <w:lang w:val="zh-CN"/>
        </w:rPr>
        <w:t>16.1投标人应按本款下述规定以及</w:t>
      </w:r>
      <w:r>
        <w:rPr>
          <w:rFonts w:ascii="宋体" w:cs="微软雅黑" w:hint="eastAsia"/>
          <w:b/>
          <w:bCs/>
          <w:kern w:val="20"/>
          <w:sz w:val="24"/>
          <w:szCs w:val="21"/>
          <w:lang w:val="zh-CN"/>
        </w:rPr>
        <w:t>投标人须知前附表第</w:t>
      </w:r>
      <w:r>
        <w:rPr>
          <w:rFonts w:ascii="宋体" w:cs="微软雅黑" w:hint="eastAsia"/>
          <w:b/>
          <w:bCs/>
          <w:kern w:val="20"/>
          <w:sz w:val="24"/>
          <w:szCs w:val="21"/>
        </w:rPr>
        <w:t>11</w:t>
      </w:r>
      <w:r>
        <w:rPr>
          <w:rFonts w:ascii="宋体" w:cs="微软雅黑" w:hint="eastAsia"/>
          <w:b/>
          <w:bCs/>
          <w:kern w:val="20"/>
          <w:sz w:val="24"/>
          <w:szCs w:val="21"/>
          <w:lang w:val="zh-CN"/>
        </w:rPr>
        <w:t>条</w:t>
      </w:r>
      <w:r>
        <w:rPr>
          <w:rFonts w:ascii="宋体" w:cs="微软雅黑" w:hint="eastAsia"/>
          <w:kern w:val="20"/>
          <w:sz w:val="24"/>
          <w:szCs w:val="21"/>
          <w:lang w:val="zh-CN"/>
        </w:rPr>
        <w:t>规定的方式提交投标文件。</w:t>
      </w:r>
    </w:p>
    <w:p>
      <w:pPr>
        <w:adjustRightInd w:val="0"/>
        <w:snapToGrid w:val="0"/>
        <w:spacing w:line="440" w:lineRule="exact"/>
        <w:rPr>
          <w:rFonts w:ascii="宋体"/>
          <w:sz w:val="24"/>
        </w:rPr>
      </w:pPr>
      <w:r>
        <w:rPr>
          <w:rFonts w:ascii="宋体" w:cs="微软雅黑" w:hint="eastAsia"/>
          <w:sz w:val="24"/>
          <w:szCs w:val="21"/>
        </w:rPr>
        <w:t>16.2投标人须登陆中国海关政府采购网，下载</w:t>
      </w:r>
      <w:r>
        <w:rPr>
          <w:rFonts w:ascii="宋体" w:cs="微软雅黑" w:hint="eastAsia"/>
          <w:color w:val="C00000"/>
          <w:sz w:val="24"/>
          <w:szCs w:val="21"/>
        </w:rPr>
        <w:t>海关智慧政采综合管理平台</w:t>
      </w:r>
      <w:r>
        <w:rPr>
          <w:rFonts w:ascii="宋体" w:cs="微软雅黑" w:hint="eastAsia"/>
          <w:sz w:val="24"/>
          <w:szCs w:val="21"/>
        </w:rPr>
        <w:t>的投标工具，制作并上传电子投标文件，文件上传成功后，将获得投标系统回执。</w:t>
      </w:r>
    </w:p>
    <w:p>
      <w:pPr>
        <w:autoSpaceDN w:val="0"/>
        <w:spacing w:line="360" w:lineRule="auto"/>
        <w:rPr>
          <w:rFonts w:ascii="宋体"/>
          <w:b/>
          <w:bCs/>
          <w:sz w:val="24"/>
        </w:rPr>
      </w:pPr>
      <w:r>
        <w:rPr>
          <w:rFonts w:ascii="宋体" w:hint="eastAsia"/>
          <w:b/>
          <w:bCs/>
          <w:sz w:val="24"/>
          <w:highlight w:val="white"/>
        </w:rPr>
        <w:t>17.投标文件提交截止时间</w:t>
      </w:r>
    </w:p>
    <w:p>
      <w:pPr>
        <w:autoSpaceDN w:val="0"/>
        <w:spacing w:line="360" w:lineRule="auto"/>
        <w:rPr>
          <w:rFonts w:ascii="宋体"/>
          <w:b/>
          <w:bCs/>
          <w:sz w:val="24"/>
        </w:rPr>
      </w:pPr>
      <w:r>
        <w:rPr>
          <w:rFonts w:ascii="宋体" w:hint="eastAsia"/>
          <w:sz w:val="24"/>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sz w:val="24"/>
          <w:szCs w:val="21"/>
        </w:rPr>
      </w:pPr>
      <w:r>
        <w:rPr>
          <w:rFonts w:ascii="宋体" w:cs="微软雅黑" w:hint="eastAsia"/>
          <w:sz w:val="24"/>
          <w:szCs w:val="21"/>
        </w:rPr>
        <w:t>18.1投标人在投标截止时间前，可以对所提交的投标文件进行补充、修改或者撤回。</w:t>
      </w:r>
    </w:p>
    <w:p>
      <w:pPr>
        <w:adjustRightInd w:val="0"/>
        <w:snapToGrid w:val="0"/>
        <w:spacing w:line="440" w:lineRule="exact"/>
        <w:rPr>
          <w:rFonts w:ascii="宋体" w:cs="微软雅黑"/>
          <w:sz w:val="24"/>
          <w:szCs w:val="21"/>
        </w:rPr>
      </w:pPr>
      <w:r>
        <w:rPr>
          <w:rFonts w:ascii="宋体" w:cs="微软雅黑" w:hint="eastAsia"/>
          <w:sz w:val="24"/>
          <w:szCs w:val="21"/>
        </w:rPr>
        <w:t>18.2投标人在投标截止时间前需要对投标文件进行补充、修改的，应当使用投标文件制作工具重新制作并上传。</w:t>
      </w:r>
    </w:p>
    <w:p>
      <w:pPr>
        <w:adjustRightInd w:val="0"/>
        <w:snapToGrid w:val="0"/>
        <w:spacing w:line="440" w:lineRule="exact"/>
        <w:rPr>
          <w:rFonts w:ascii="宋体" w:cs="微软雅黑"/>
          <w:sz w:val="24"/>
          <w:szCs w:val="21"/>
        </w:rPr>
      </w:pPr>
      <w:r>
        <w:rPr>
          <w:rFonts w:ascii="宋体" w:cs="微软雅黑" w:hint="eastAsia"/>
          <w:sz w:val="24"/>
          <w:szCs w:val="21"/>
        </w:rPr>
        <w:t>18.3在投标截止时间之后，投标人不得撤回投标。</w:t>
      </w: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sz w:val="24"/>
        </w:rPr>
      </w:pPr>
      <w:r>
        <w:rPr>
          <w:rFonts w:ascii="宋体" w:hint="eastAsia"/>
          <w:sz w:val="24"/>
        </w:rPr>
        <w:t>19.1开标时间和方式见招标公告。</w:t>
      </w:r>
    </w:p>
    <w:p>
      <w:pPr>
        <w:autoSpaceDN w:val="0"/>
        <w:spacing w:line="360" w:lineRule="auto"/>
        <w:ind w:left="1"/>
        <w:rPr>
          <w:rFonts w:ascii="宋体"/>
          <w:sz w:val="24"/>
        </w:rPr>
      </w:pPr>
      <w:r>
        <w:rPr>
          <w:rFonts w:ascii="宋体" w:hint="eastAsia"/>
          <w:sz w:val="24"/>
        </w:rPr>
        <w:t>19.2投标人不足3家，不进入解密程序。</w:t>
      </w:r>
    </w:p>
    <w:p>
      <w:pPr>
        <w:adjustRightInd w:val="0"/>
        <w:snapToGrid w:val="0"/>
        <w:spacing w:line="360" w:lineRule="auto"/>
        <w:rPr>
          <w:rFonts w:ascii="宋体" w:cs="微软雅黑"/>
          <w:szCs w:val="21"/>
        </w:rPr>
      </w:pPr>
      <w:r>
        <w:rPr>
          <w:rFonts w:ascii="宋体" w:hint="eastAsia"/>
          <w:sz w:val="24"/>
        </w:rPr>
        <w:t>19.3</w:t>
      </w:r>
      <w:r>
        <w:rPr>
          <w:rFonts w:ascii="宋体" w:cs="微软雅黑" w:hint="eastAsia"/>
          <w:sz w:val="24"/>
          <w:szCs w:val="21"/>
        </w:rPr>
        <w:t>进入解密程序后，由海关总署物资装备采购中心对所有完成投递的电子投标文件进行解密。所有投标人电子投标文件解密完成后，将进行电子唱标。</w:t>
      </w:r>
    </w:p>
    <w:p>
      <w:pPr>
        <w:pStyle w:val="100"/>
        <w:autoSpaceDN w:val="0"/>
        <w:spacing w:line="360" w:lineRule="auto"/>
        <w:ind w:left="1"/>
        <w:rPr>
          <w:sz w:val="24"/>
        </w:rPr>
      </w:pPr>
      <w:r>
        <w:rPr>
          <w:rFonts w:ascii="宋体" w:hint="eastAsia"/>
          <w:sz w:val="24"/>
        </w:rPr>
        <w:t>19.4</w:t>
      </w:r>
      <w:r>
        <w:rPr>
          <w:rFonts w:hint="eastAsia"/>
        </w:rPr>
        <w:t xml:space="preserve"> </w:t>
      </w:r>
      <w:r>
        <w:rPr>
          <w:rFonts w:ascii="宋体" w:hint="eastAsia"/>
          <w:sz w:val="24"/>
        </w:rPr>
        <w:t>投标人投标文件解密失败的，按以下程序进行处理：1.</w:t>
      </w:r>
      <w:r>
        <w:rPr>
          <w:rFonts w:hint="eastAsia"/>
          <w:sz w:val="24"/>
        </w:rPr>
        <w:t>因投标人</w:t>
      </w:r>
      <w:r>
        <w:rPr>
          <w:sz w:val="24"/>
        </w:rPr>
        <w:t>自身</w:t>
      </w:r>
      <w:r>
        <w:rPr>
          <w:rFonts w:hint="eastAsia"/>
          <w:sz w:val="24"/>
        </w:rPr>
        <w:t>原因造成投标文件解密</w:t>
      </w:r>
      <w:r>
        <w:rPr>
          <w:sz w:val="24"/>
        </w:rPr>
        <w:t>失败</w:t>
      </w:r>
      <w:r>
        <w:rPr>
          <w:rFonts w:hint="eastAsia"/>
          <w:sz w:val="24"/>
        </w:rPr>
        <w:t>的，视其为投标无效；</w:t>
      </w:r>
      <w:r>
        <w:rPr>
          <w:sz w:val="24"/>
        </w:rPr>
        <w:t>2.</w:t>
      </w:r>
      <w:r>
        <w:rPr>
          <w:rFonts w:hint="eastAsia"/>
          <w:sz w:val="24"/>
        </w:rPr>
        <w:t>因</w:t>
      </w:r>
      <w:r>
        <w:rPr>
          <w:sz w:val="24"/>
        </w:rPr>
        <w:t>投标系统</w:t>
      </w:r>
      <w:r>
        <w:rPr>
          <w:rFonts w:hint="eastAsia"/>
          <w:sz w:val="24"/>
        </w:rPr>
        <w:t>原因造成投标文件解密</w:t>
      </w:r>
      <w:r>
        <w:rPr>
          <w:sz w:val="24"/>
        </w:rPr>
        <w:t>失败</w:t>
      </w:r>
      <w:r>
        <w:rPr>
          <w:rFonts w:hint="eastAsia"/>
          <w:sz w:val="24"/>
        </w:rPr>
        <w:t>的，</w:t>
      </w:r>
      <w:r>
        <w:rPr>
          <w:sz w:val="24"/>
        </w:rPr>
        <w:t>投标人须</w:t>
      </w:r>
      <w:r>
        <w:rPr>
          <w:rFonts w:hint="eastAsia"/>
          <w:sz w:val="24"/>
        </w:rPr>
        <w:t>在接到采购</w:t>
      </w:r>
      <w:r>
        <w:rPr>
          <w:sz w:val="24"/>
        </w:rPr>
        <w:t>机构</w:t>
      </w:r>
      <w:r>
        <w:rPr>
          <w:rFonts w:hint="eastAsia"/>
          <w:sz w:val="24"/>
        </w:rPr>
        <w:t>通知后</w:t>
      </w:r>
      <w:r>
        <w:rPr>
          <w:sz w:val="24"/>
        </w:rPr>
        <w:t>30</w:t>
      </w:r>
      <w:r>
        <w:rPr>
          <w:rFonts w:hint="eastAsia"/>
          <w:sz w:val="24"/>
        </w:rPr>
        <w:t>分钟内，登陆投标系统，在“我要投标”找到该项目并点击“导出投标文件”，选择导出方式为备份导出，然后将导出的文件压缩包发送至customscgzx@163.com</w:t>
      </w:r>
      <w:r>
        <w:rPr>
          <w:sz w:val="24"/>
        </w:rPr>
        <w:t>，</w:t>
      </w:r>
      <w:r>
        <w:rPr>
          <w:rFonts w:hint="eastAsia"/>
          <w:sz w:val="24"/>
        </w:rPr>
        <w:t>若超出限定时间</w:t>
      </w:r>
      <w:r>
        <w:rPr>
          <w:sz w:val="24"/>
        </w:rPr>
        <w:t>未发送</w:t>
      </w:r>
      <w:r>
        <w:rPr>
          <w:rFonts w:hint="eastAsia"/>
          <w:sz w:val="24"/>
        </w:rPr>
        <w:t>即认定为投标无效。</w:t>
      </w:r>
    </w:p>
    <w:p>
      <w:pPr>
        <w:autoSpaceDN w:val="0"/>
        <w:spacing w:line="360" w:lineRule="auto"/>
        <w:ind w:left="1"/>
        <w:rPr>
          <w:rFonts w:ascii="宋体"/>
          <w:sz w:val="24"/>
        </w:rPr>
      </w:pPr>
      <w:r>
        <w:rPr>
          <w:rFonts w:ascii="宋体" w:hint="eastAsia"/>
          <w:sz w:val="24"/>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sz w:val="24"/>
          <w:highlight w:val="yellow"/>
        </w:rPr>
      </w:pPr>
      <w:r>
        <w:rPr>
          <w:rFonts w:ascii="宋体" w:hint="eastAsia"/>
          <w:sz w:val="24"/>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sz w:val="24"/>
        </w:rPr>
      </w:pPr>
      <w:r>
        <w:rPr>
          <w:rFonts w:ascii="宋体" w:hint="eastAsia"/>
          <w:sz w:val="24"/>
        </w:rPr>
        <w:t>24.1经符合性审查合格的投标文件，评标委员会将根据招标文件规定的评审标准和方法，对其商务、技术、服务和报价等作进一步的比较和评价。</w:t>
      </w:r>
    </w:p>
    <w:p>
      <w:pPr>
        <w:autoSpaceDN w:val="0"/>
        <w:spacing w:line="360" w:lineRule="auto"/>
        <w:ind w:left="1"/>
        <w:rPr>
          <w:rFonts w:ascii="宋体"/>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供应商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本项目专门面向中小企业采购，不执行小微企业价格扣除</w:t>
      </w:r>
      <w:r>
        <w:rPr>
          <w:rFonts w:ascii="宋体" w:cs="微软雅黑" w:hint="eastAsia"/>
          <w:bCs/>
          <w:sz w:val="24"/>
        </w:rPr>
        <w:t>。</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sz w:val="24"/>
        </w:rPr>
      </w:pPr>
      <w:r>
        <w:rPr>
          <w:rFonts w:ascii="宋体" w:hint="eastAsia"/>
          <w:sz w:val="24"/>
        </w:rPr>
        <w:t>25.3评标委员会将根据评标排序，依次推荐前三名投标人为中标候选人。</w:t>
      </w:r>
    </w:p>
    <w:p>
      <w:pPr>
        <w:autoSpaceDN w:val="0"/>
        <w:spacing w:line="360" w:lineRule="auto"/>
        <w:ind w:left="1"/>
        <w:rPr>
          <w:rFonts w:ascii="宋体"/>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（1）</w:t>
      </w:r>
      <w:r>
        <w:rPr>
          <w:rFonts w:ascii="宋体" w:hint="eastAsia"/>
          <w:kern w:val="0"/>
          <w:sz w:val="24"/>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kern w:val="0"/>
          <w:sz w:val="24"/>
        </w:rPr>
      </w:pPr>
      <w:r>
        <w:rPr>
          <w:rFonts w:ascii="宋体" w:hint="eastAsia"/>
          <w:kern w:val="0"/>
          <w:sz w:val="24"/>
        </w:rPr>
        <w:t>（5）解密成功的投标人不足3家的。</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sz w:val="24"/>
        </w:rPr>
      </w:pPr>
      <w:r>
        <w:rPr>
          <w:rFonts w:ascii="宋体" w:hint="eastAsia"/>
          <w:sz w:val="24"/>
        </w:rPr>
        <w:t>28.2采购机构不承诺报价最低的投标人为中标供应商。</w:t>
      </w:r>
    </w:p>
    <w:p>
      <w:pPr>
        <w:autoSpaceDN w:val="0"/>
        <w:spacing w:line="360" w:lineRule="auto"/>
        <w:ind w:left="1"/>
        <w:rPr>
          <w:rFonts w:ascii="宋体"/>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cs="微软雅黑"/>
          <w:sz w:val="24"/>
        </w:rPr>
      </w:pPr>
      <w:r>
        <w:rPr>
          <w:rFonts w:ascii="宋体" w:hint="eastAsia"/>
          <w:sz w:val="24"/>
        </w:rPr>
        <w:t>29.1</w:t>
      </w:r>
      <w:r>
        <w:rPr>
          <w:rFonts w:ascii="宋体" w:cs="微软雅黑" w:hint="eastAsia"/>
          <w:sz w:val="24"/>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29.3中标供应商在海关智慧政采综合管理平台供应商端通知公告功能下载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29.4中标通知书是合同的组成部分。</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sz w:val="24"/>
        </w:rPr>
      </w:pPr>
      <w:r>
        <w:rPr>
          <w:rFonts w:ascii="宋体" w:hint="eastAsia"/>
          <w:sz w:val="24"/>
        </w:rPr>
        <w:t>33.2履约保证金的提交时间、金额、形式及有效期详见合同文本。</w:t>
      </w:r>
    </w:p>
    <w:p>
      <w:pPr>
        <w:autoSpaceDN w:val="0"/>
        <w:spacing w:line="360" w:lineRule="auto"/>
        <w:ind w:left="1"/>
        <w:rPr>
          <w:rFonts w:ascii="宋体"/>
          <w:b/>
          <w:bCs/>
          <w:sz w:val="24"/>
        </w:rPr>
      </w:pPr>
      <w:r>
        <w:rPr>
          <w:rFonts w:ascii="宋体" w:hint="eastAsia"/>
          <w:b/>
          <w:bCs/>
          <w:sz w:val="24"/>
        </w:rPr>
        <w:t>34.重新授予合同</w:t>
      </w:r>
    </w:p>
    <w:p>
      <w:pPr>
        <w:autoSpaceDN w:val="0"/>
        <w:spacing w:line="360" w:lineRule="auto"/>
        <w:ind w:left="1"/>
        <w:rPr>
          <w:rFonts w:ascii="宋体"/>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b/>
          <w:bCs/>
          <w:kern w:val="0"/>
          <w:sz w:val="24"/>
          <w:highlight w:val="white"/>
        </w:rPr>
      </w:pPr>
      <w:r>
        <w:rPr>
          <w:rFonts w:ascii="宋体" w:hint="eastAsia"/>
          <w:b/>
          <w:bCs/>
          <w:kern w:val="0"/>
          <w:sz w:val="24"/>
          <w:highlight w:val="white"/>
        </w:rPr>
        <w:t>35.质疑</w:t>
      </w:r>
    </w:p>
    <w:p>
      <w:pPr>
        <w:autoSpaceDN w:val="0"/>
        <w:spacing w:line="360" w:lineRule="auto"/>
        <w:rPr>
          <w:rFonts w:ascii="宋体" w:cs="微软雅黑"/>
          <w:sz w:val="24"/>
        </w:rPr>
      </w:pPr>
      <w:r>
        <w:rPr>
          <w:rFonts w:ascii="宋体" w:hint="eastAsia"/>
          <w:sz w:val="24"/>
        </w:rPr>
        <w:t>35.1投标人</w:t>
      </w:r>
      <w:r>
        <w:rPr>
          <w:rFonts w:ascii="宋体" w:cs="微软雅黑" w:hint="eastAsia"/>
          <w:bCs/>
          <w:sz w:val="24"/>
        </w:rPr>
        <w:t>或潜在投标人</w:t>
      </w:r>
      <w:r>
        <w:rPr>
          <w:rFonts w:ascii="宋体" w:hint="eastAsia"/>
          <w:sz w:val="24"/>
        </w:rPr>
        <w:t>认为招标文件、开评标过程及中标结果使自己的权益受到损害的，可以在知道或应知权益受到损害之日起七个工作日内提出，通过海关智慧政采综合管理平台等书面形式向采购机构提出质疑。</w:t>
      </w:r>
      <w:r>
        <w:rPr>
          <w:rFonts w:ascii="宋体" w:cs="微软雅黑" w:hint="eastAsia"/>
          <w:bCs/>
          <w:sz w:val="24"/>
        </w:rPr>
        <w:t>投标人或潜在投标人应知其权益受到损害之日</w:t>
      </w:r>
      <w:r>
        <w:rPr>
          <w:rFonts w:ascii="宋体" w:cs="微软雅黑" w:hint="eastAsia"/>
          <w:sz w:val="24"/>
        </w:rPr>
        <w:t>，是指：</w:t>
      </w:r>
    </w:p>
    <w:p>
      <w:pPr>
        <w:autoSpaceDN w:val="0"/>
        <w:spacing w:line="360" w:lineRule="auto"/>
        <w:ind w:left="8" w:hanging="15"/>
        <w:rPr>
          <w:rFonts w:ascii="宋体" w:cs="微软雅黑"/>
          <w:bCs/>
          <w:sz w:val="24"/>
        </w:rPr>
      </w:pPr>
      <w:r>
        <w:rPr>
          <w:rFonts w:ascii="宋体" w:cs="微软雅黑" w:hint="eastAsia"/>
          <w:bCs/>
          <w:sz w:val="24"/>
        </w:rPr>
        <w:t>(1) 对招标文件提出质疑的，为获取招标文件之日或者招标文件公告期限届满之日；</w:t>
      </w:r>
    </w:p>
    <w:p>
      <w:pPr>
        <w:autoSpaceDN w:val="0"/>
        <w:spacing w:line="360" w:lineRule="auto"/>
        <w:ind w:left="8" w:hanging="15"/>
        <w:rPr>
          <w:rFonts w:ascii="宋体" w:cs="微软雅黑"/>
          <w:bCs/>
          <w:sz w:val="24"/>
        </w:rPr>
      </w:pPr>
      <w:r>
        <w:rPr>
          <w:rFonts w:ascii="宋体" w:cs="微软雅黑" w:hint="eastAsia"/>
          <w:bCs/>
          <w:sz w:val="24"/>
        </w:rPr>
        <w:t>(2) 对招标过程提出质疑的，为各招标程序环节结束之日；</w:t>
      </w:r>
    </w:p>
    <w:p>
      <w:pPr>
        <w:autoSpaceDN w:val="0"/>
        <w:spacing w:line="360" w:lineRule="auto"/>
        <w:ind w:left="8" w:hanging="15"/>
        <w:rPr>
          <w:rFonts w:ascii="宋体" w:cs="微软雅黑"/>
          <w:bCs/>
          <w:sz w:val="24"/>
        </w:rPr>
      </w:pPr>
      <w:r>
        <w:rPr>
          <w:rFonts w:ascii="宋体" w:cs="微软雅黑" w:hint="eastAsia"/>
          <w:bCs/>
          <w:sz w:val="24"/>
        </w:rPr>
        <w:t>(3) 对中标结果提出质疑的，为中标结果公告期限届满之日。</w:t>
      </w:r>
    </w:p>
    <w:p>
      <w:pPr>
        <w:autoSpaceDN w:val="0"/>
        <w:spacing w:line="360" w:lineRule="auto"/>
        <w:ind w:left="8" w:hanging="15"/>
        <w:rPr>
          <w:rFonts w:ascii="宋体" w:cs="微软雅黑"/>
          <w:bCs/>
          <w:sz w:val="24"/>
        </w:rPr>
      </w:pPr>
      <w:r>
        <w:rPr>
          <w:rFonts w:ascii="宋体" w:cs="微软雅黑" w:hint="eastAsia"/>
          <w:bCs/>
          <w:sz w:val="24"/>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sz w:val="24"/>
        </w:rPr>
      </w:pPr>
      <w:r>
        <w:rPr>
          <w:rFonts w:ascii="宋体" w:cs="微软雅黑" w:hint="eastAsia"/>
          <w:bCs/>
          <w:sz w:val="24"/>
        </w:rPr>
        <w:t>35.2提出质疑的投标人或潜在投标人应当是参与所质疑项目采购活动的供应商，潜在投标人已依法获取其可质疑的招标文件的，可以对该文件提出质疑。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cs="微软雅黑"/>
          <w:bCs/>
          <w:sz w:val="24"/>
        </w:rPr>
      </w:pPr>
      <w:r>
        <w:rPr>
          <w:rFonts w:ascii="宋体" w:cs="微软雅黑" w:hint="eastAsia"/>
          <w:bCs/>
          <w:sz w:val="24"/>
        </w:rPr>
        <w:t>35.3投标人或潜在投标人提出质疑应当提交质疑函和必要的证明材料。质疑函应当包括下列内容（格式见第六部分）：</w:t>
      </w:r>
    </w:p>
    <w:p>
      <w:pPr>
        <w:autoSpaceDN w:val="0"/>
        <w:spacing w:line="360" w:lineRule="auto"/>
        <w:ind w:left="8" w:hanging="15"/>
        <w:rPr>
          <w:rFonts w:ascii="宋体" w:cs="微软雅黑"/>
          <w:bCs/>
          <w:sz w:val="24"/>
        </w:rPr>
      </w:pPr>
      <w:r>
        <w:rPr>
          <w:rFonts w:ascii="宋体" w:cs="微软雅黑" w:hint="eastAsia"/>
          <w:bCs/>
          <w:sz w:val="24"/>
        </w:rPr>
        <w:t>(1)投标人或潜在投标人的姓名或者名称、地址、邮编、联系人及电话；</w:t>
      </w:r>
    </w:p>
    <w:p>
      <w:pPr>
        <w:autoSpaceDN w:val="0"/>
        <w:spacing w:line="360" w:lineRule="auto"/>
        <w:ind w:left="8" w:hanging="15"/>
        <w:rPr>
          <w:rFonts w:ascii="宋体" w:cs="微软雅黑"/>
          <w:bCs/>
          <w:sz w:val="24"/>
        </w:rPr>
      </w:pPr>
      <w:r>
        <w:rPr>
          <w:rFonts w:ascii="宋体" w:cs="微软雅黑" w:hint="eastAsia"/>
          <w:bCs/>
          <w:sz w:val="24"/>
        </w:rPr>
        <w:t>(2)质疑项目的名称、编号；</w:t>
      </w:r>
    </w:p>
    <w:p>
      <w:pPr>
        <w:autoSpaceDN w:val="0"/>
        <w:spacing w:line="360" w:lineRule="auto"/>
        <w:ind w:left="8" w:hanging="15"/>
        <w:rPr>
          <w:rFonts w:ascii="宋体" w:cs="微软雅黑"/>
          <w:bCs/>
          <w:sz w:val="24"/>
        </w:rPr>
      </w:pPr>
      <w:r>
        <w:rPr>
          <w:rFonts w:ascii="宋体" w:cs="微软雅黑" w:hint="eastAsia"/>
          <w:bCs/>
          <w:sz w:val="24"/>
        </w:rPr>
        <w:t>(3)具体、明确的质疑事项和与质疑事项相关的请求；</w:t>
      </w:r>
    </w:p>
    <w:p>
      <w:pPr>
        <w:autoSpaceDN w:val="0"/>
        <w:spacing w:line="360" w:lineRule="auto"/>
        <w:ind w:left="8" w:hanging="15"/>
        <w:rPr>
          <w:rFonts w:ascii="宋体" w:cs="微软雅黑"/>
          <w:bCs/>
          <w:sz w:val="24"/>
        </w:rPr>
      </w:pPr>
      <w:r>
        <w:rPr>
          <w:rFonts w:ascii="宋体" w:cs="微软雅黑" w:hint="eastAsia"/>
          <w:bCs/>
          <w:sz w:val="24"/>
        </w:rPr>
        <w:t>(4)事实依据；</w:t>
      </w:r>
    </w:p>
    <w:p>
      <w:pPr>
        <w:autoSpaceDN w:val="0"/>
        <w:spacing w:line="360" w:lineRule="auto"/>
        <w:ind w:left="8" w:hanging="15"/>
        <w:rPr>
          <w:rFonts w:ascii="宋体" w:cs="微软雅黑"/>
          <w:bCs/>
          <w:sz w:val="24"/>
        </w:rPr>
      </w:pPr>
      <w:r>
        <w:rPr>
          <w:rFonts w:ascii="宋体" w:cs="微软雅黑" w:hint="eastAsia"/>
          <w:bCs/>
          <w:sz w:val="24"/>
        </w:rPr>
        <w:t>(5)必要的法律依据；</w:t>
      </w:r>
    </w:p>
    <w:p>
      <w:pPr>
        <w:autoSpaceDN w:val="0"/>
        <w:spacing w:line="360" w:lineRule="auto"/>
        <w:ind w:left="8" w:hanging="15"/>
        <w:rPr>
          <w:rFonts w:ascii="宋体" w:cs="微软雅黑"/>
          <w:bCs/>
          <w:sz w:val="24"/>
        </w:rPr>
      </w:pPr>
      <w:r>
        <w:rPr>
          <w:rFonts w:ascii="宋体" w:cs="微软雅黑" w:hint="eastAsia"/>
          <w:bCs/>
          <w:sz w:val="24"/>
        </w:rPr>
        <w:t>(6)提出质疑的日期。</w:t>
      </w:r>
    </w:p>
    <w:p>
      <w:pPr>
        <w:autoSpaceDN w:val="0"/>
        <w:spacing w:line="360" w:lineRule="auto"/>
        <w:ind w:left="8" w:hanging="15"/>
        <w:rPr>
          <w:rFonts w:ascii="宋体" w:cs="微软雅黑"/>
          <w:bCs/>
          <w:sz w:val="24"/>
        </w:rPr>
      </w:pPr>
      <w:r>
        <w:rPr>
          <w:rFonts w:ascii="宋体" w:cs="微软雅黑" w:hint="eastAsia"/>
          <w:bCs/>
          <w:sz w:val="24"/>
        </w:rPr>
        <w:t>投标人或潜在投标人为自然人的，应当由本人签字；投标人或潜在投标人为法人或者其他组织的，应当由法定代表人、主要负责人，或者其授权代表签字或者盖章，并加盖公章。提出质疑应当在法定质疑期限内。提出质疑应当提供事实依据和证明材料，证明材料应当内容真实、来源合法。</w:t>
      </w:r>
    </w:p>
    <w:p>
      <w:pPr>
        <w:autoSpaceDN w:val="0"/>
        <w:spacing w:line="360" w:lineRule="auto"/>
        <w:ind w:left="8" w:hanging="15"/>
        <w:rPr>
          <w:rFonts w:ascii="宋体" w:cs="微软雅黑"/>
          <w:bCs/>
          <w:sz w:val="24"/>
        </w:rPr>
      </w:pPr>
      <w:r>
        <w:rPr>
          <w:rFonts w:ascii="宋体" w:cs="微软雅黑" w:hint="eastAsia"/>
          <w:bCs/>
          <w:sz w:val="24"/>
        </w:rPr>
        <w:t>投标人或潜在投标人可以委托代理人进行质疑，其授权委托书应当载明代理人的姓名或者名称、代理事项、具体权限、期限和相关事项；以代理人身份提出质疑的，应当提交投标人或潜在投标人签署的授权委托书。</w:t>
      </w:r>
    </w:p>
    <w:p>
      <w:pPr>
        <w:autoSpaceDN w:val="0"/>
        <w:spacing w:line="360" w:lineRule="auto"/>
        <w:ind w:left="8" w:hanging="15"/>
        <w:rPr>
          <w:rFonts w:ascii="宋体" w:cs="微软雅黑"/>
          <w:bCs/>
          <w:sz w:val="24"/>
        </w:rPr>
      </w:pPr>
      <w:r>
        <w:rPr>
          <w:rFonts w:ascii="宋体" w:cs="微软雅黑" w:hint="eastAsia"/>
          <w:bCs/>
          <w:sz w:val="24"/>
        </w:rPr>
        <w:t>投标人或潜在投标人提交的质疑函不符合以上要求的，采购机构应当一次性告知供应商需更正或补充的内容。投标人或潜在投标人未在质疑期限内提交更正、补充材料或重新提交的材料仍不符合要求的，采购机构不予受理，并告知理由。</w:t>
      </w:r>
    </w:p>
    <w:p>
      <w:pPr>
        <w:autoSpaceDN w:val="0"/>
        <w:spacing w:line="360" w:lineRule="auto"/>
        <w:ind w:left="8" w:hanging="15"/>
        <w:rPr>
          <w:rFonts w:ascii="宋体" w:cs="微软雅黑"/>
          <w:bCs/>
          <w:sz w:val="24"/>
        </w:rPr>
      </w:pPr>
      <w:r>
        <w:rPr>
          <w:rFonts w:ascii="宋体" w:cs="微软雅黑" w:hint="eastAsia"/>
          <w:bCs/>
          <w:sz w:val="24"/>
        </w:rPr>
        <w:t>35.4质疑供应商通过海关智慧政采综合管理平台质疑处理模块等书面形式进行质疑提交并接收质疑处理结果。质疑受理电话详见第一部分招标公告。</w:t>
      </w:r>
    </w:p>
    <w:p>
      <w:pPr>
        <w:pStyle w:val="83"/>
        <w:spacing w:line="360" w:lineRule="auto"/>
        <w:ind w:left="8" w:hanging="15" w:firstLineChars="0"/>
        <w:jc w:val="both"/>
        <w:textAlignment w:val="auto"/>
        <w:rPr>
          <w:rFonts w:ascii="宋体" w:cs="微软雅黑"/>
          <w:bCs/>
          <w:color w:val="auto"/>
          <w:kern w:val="2"/>
          <w:szCs w:val="24"/>
        </w:rPr>
      </w:pPr>
      <w:r>
        <w:rPr>
          <w:rFonts w:ascii="宋体" w:cs="微软雅黑" w:hint="eastAsia"/>
          <w:bCs/>
          <w:color w:val="auto"/>
          <w:kern w:val="2"/>
          <w:szCs w:val="24"/>
        </w:rPr>
        <w:t>35.5采购人、采购机构应当在收到质疑函后7个工作日内作出答复，并通过海关智慧政采综合管理平台等书面形式通知质疑供应商和其他相关当事人。</w:t>
      </w:r>
    </w:p>
    <w:p>
      <w:pPr>
        <w:pStyle w:val="83"/>
        <w:spacing w:line="360" w:lineRule="auto"/>
        <w:ind w:left="8" w:hanging="15" w:firstLineChars="0"/>
        <w:jc w:val="both"/>
        <w:textAlignment w:val="auto"/>
        <w:rPr>
          <w:rFonts w:ascii="宋体" w:cs="微软雅黑"/>
          <w:bCs/>
          <w:color w:val="auto"/>
          <w:kern w:val="2"/>
          <w:szCs w:val="24"/>
        </w:rPr>
      </w:pPr>
      <w:r>
        <w:rPr>
          <w:rFonts w:ascii="宋体" w:cs="微软雅黑" w:hint="eastAsia"/>
          <w:bCs/>
          <w:color w:val="auto"/>
          <w:kern w:val="2"/>
          <w:szCs w:val="24"/>
        </w:rPr>
        <w:t>35.6投标人或潜在投标人以质疑函形式提交，但无具体、明确质疑事项，实质内容为询问的，</w:t>
      </w:r>
      <w:r>
        <w:rPr>
          <w:rFonts w:ascii="宋体" w:cs="微软雅黑" w:hint="eastAsia"/>
          <w:color w:val="auto"/>
          <w:kern w:val="2"/>
          <w:szCs w:val="24"/>
        </w:rPr>
        <w:t>采购机构</w:t>
      </w:r>
      <w:r>
        <w:rPr>
          <w:rFonts w:ascii="宋体" w:cs="微软雅黑" w:hint="eastAsia"/>
          <w:bCs/>
          <w:color w:val="auto"/>
          <w:kern w:val="2"/>
          <w:szCs w:val="24"/>
        </w:rPr>
        <w:t>可视为书面询问受理并及时告知供应商，后续事宜按照询问答复流程办理。</w:t>
      </w:r>
    </w:p>
    <w:p>
      <w:pPr>
        <w:tabs>
          <w:tab w:val="left" w:pos="0"/>
        </w:tabs>
        <w:autoSpaceDN w:val="0"/>
        <w:spacing w:line="360" w:lineRule="auto"/>
        <w:ind w:left="8" w:hanging="15"/>
        <w:rPr>
          <w:rFonts w:ascii="宋体"/>
          <w:b/>
          <w:bCs/>
          <w:kern w:val="0"/>
          <w:sz w:val="24"/>
        </w:rPr>
      </w:pPr>
      <w:r>
        <w:rPr>
          <w:rFonts w:ascii="宋体" w:hint="eastAsia"/>
          <w:b/>
          <w:bCs/>
          <w:kern w:val="0"/>
          <w:sz w:val="24"/>
        </w:rPr>
        <w:t>36.投诉</w:t>
      </w:r>
    </w:p>
    <w:p>
      <w:pPr>
        <w:pStyle w:val="83"/>
        <w:spacing w:line="360" w:lineRule="auto"/>
        <w:ind w:left="8" w:hanging="15" w:firstLineChars="0"/>
        <w:jc w:val="both"/>
        <w:textAlignment w:val="auto"/>
        <w:rPr>
          <w:rFonts w:ascii="宋体" w:cs="微软雅黑"/>
          <w:bCs/>
          <w:color w:val="auto"/>
          <w:kern w:val="2"/>
          <w:szCs w:val="24"/>
          <w:highlight w:val="yellow"/>
        </w:rPr>
      </w:pPr>
      <w:r>
        <w:rPr>
          <w:rFonts w:ascii="宋体" w:cs="微软雅黑" w:hint="eastAsia"/>
          <w:bCs/>
          <w:color w:val="auto"/>
          <w:kern w:val="2"/>
          <w:szCs w:val="24"/>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kern w:val="2"/>
          <w:highlight w:val="yellow"/>
        </w:rPr>
        <w:br w:type="page"/>
      </w:r>
      <w:bookmarkStart w:id="29" w:name="_Toc71168516"/>
      <w:r>
        <w:rPr>
          <w:rFonts w:hint="eastAsia"/>
          <w:highlight w:val="white"/>
        </w:rPr>
        <w:t>第三部分  项目需求书</w:t>
      </w:r>
      <w:bookmarkEnd w:id="29"/>
    </w:p>
    <w:p>
      <w:pPr>
        <w:rPr>
          <w:b/>
          <w:kern w:val="44"/>
          <w:sz w:val="30"/>
          <w:highlight w:val="white"/>
        </w:rPr>
      </w:pPr>
    </w:p>
    <w:p>
      <w:pPr>
        <w:rPr>
          <w:b/>
          <w:kern w:val="44"/>
          <w:sz w:val="30"/>
          <w:highlight w:val="white"/>
        </w:rPr>
      </w:pPr>
    </w:p>
    <w:p>
      <w:pPr>
        <w:pStyle w:val="19"/>
        <w:rPr>
          <w:rFonts w:ascii="Times New Roman" w:eastAsia="宋体" w:hAnsi="Times New Roman" w:cs="Times New Roman"/>
          <w:b/>
          <w:kern w:val="44"/>
          <w:sz w:val="30"/>
          <w:highlight w:val="white"/>
        </w:rPr>
      </w:pPr>
      <w:bookmarkStart w:id="30" w:name="插入_采购需求书"/>
    </w:p>
    <w:p>
      <w:pPr>
        <w:pStyle w:val="19"/>
        <w:rPr>
          <w:rFonts w:ascii="宋体" w:eastAsia="宋体"/>
        </w:rPr>
      </w:pPr>
      <w:r>
        <w:rPr>
          <w:rFonts w:ascii="Times New Roman" w:eastAsia="宋体" w:hAnsi="Times New Roman" w:cs="Times New Roman" w:hint="eastAsia"/>
          <w:b/>
          <w:kern w:val="44"/>
          <w:sz w:val="30"/>
          <w:highlight w:val="white"/>
        </w:rPr>
        <w:t>说明</w:t>
      </w:r>
      <w:r>
        <w:rPr>
          <w:rFonts w:ascii="宋体" w:eastAsia="宋体" w:hint="eastAsia"/>
        </w:rPr>
        <w:t>：未经采购人同意，投标人不得向与此项目无关的任何第三方透露招标文件技术内容部分。注：加 “▲”标记表示为重要指标项，如不满足将影响评分。加 “★”标记表示为必须满足条款，否则做为无效投标处理。</w:t>
      </w:r>
    </w:p>
    <w:p>
      <w:pPr>
        <w:pStyle w:val="19"/>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pStyle w:val="22"/>
        <w:numPr>
          <w:ilvl w:val="0"/>
          <w:numId w:val="2"/>
        </w:numPr>
        <w:outlineLvl w:val="1"/>
        <w:rPr>
          <w:rFonts w:ascii="宋体" w:eastAsia="宋体" w:hint="eastAsia"/>
        </w:rPr>
      </w:pPr>
      <w:r>
        <w:rPr>
          <w:rFonts w:ascii="宋体" w:eastAsia="宋体" w:hint="eastAsia"/>
        </w:rPr>
        <w:t>承</w:t>
      </w:r>
      <w:r>
        <w:rPr>
          <w:rFonts w:ascii="宋体" w:eastAsia="宋体" w:hint="eastAsia"/>
          <w:bCs/>
          <w:kern w:val="2"/>
          <w:sz w:val="30"/>
          <w:szCs w:val="30"/>
          <w:highlight w:val="white"/>
        </w:rPr>
        <w:t>诺</w:t>
      </w:r>
      <w:r>
        <w:rPr>
          <w:rFonts w:ascii="宋体" w:eastAsia="宋体" w:hint="eastAsia"/>
        </w:rPr>
        <w:t>项</w:t>
      </w:r>
    </w:p>
    <w:p>
      <w:pPr>
        <w:pStyle w:val="19"/>
        <w:rPr>
          <w:rFonts w:ascii="宋体" w:eastAsia="宋体" w:cs="Times New Roman"/>
          <w:kern w:val="2"/>
        </w:rPr>
      </w:pPr>
      <w:r>
        <w:rPr>
          <w:rFonts w:ascii="宋体" w:eastAsia="宋体" w:cs="宋体" w:hint="eastAsia"/>
          <w:kern w:val="2"/>
        </w:rPr>
        <w:t>1.行业类型（必填项）：软件和信息技术服务业</w:t>
      </w:r>
      <w:r>
        <w:rPr>
          <w:rFonts w:ascii="宋体" w:eastAsia="宋体" w:cs="Times New Roman" w:hint="eastAsia"/>
          <w:kern w:val="2"/>
        </w:rPr>
        <w:t xml:space="preserve">                                          </w:t>
      </w:r>
    </w:p>
    <w:p>
      <w:pPr>
        <w:pStyle w:val="19"/>
        <w:rPr>
          <w:rFonts w:ascii="宋体" w:eastAsia="宋体" w:cs="Times New Roman"/>
          <w:kern w:val="2"/>
        </w:rPr>
      </w:pPr>
      <w:r>
        <w:rPr>
          <w:rFonts w:ascii="宋体" w:eastAsia="宋体" w:cs="方正仿宋_GBK" w:hint="eastAsia"/>
          <w:kern w:val="2"/>
        </w:rPr>
        <w:t>注：行业类型依据工业和信息化部等主管部门印发的《中小企业划型标准规定》（工信部联企业〔2011〕300号），参考《国民经济行业分类注释》（国家统计局2017年），如工业、建筑业、其他未列明行业等。</w:t>
      </w:r>
    </w:p>
    <w:p>
      <w:pPr>
        <w:pStyle w:val="19"/>
        <w:rPr>
          <w:rFonts w:ascii="宋体" w:eastAsia="宋体" w:cs="方正仿宋_GBK"/>
          <w:kern w:val="2"/>
        </w:rPr>
      </w:pPr>
      <w:r>
        <w:rPr>
          <w:rFonts w:ascii="宋体" w:eastAsia="宋体" w:cs="方正仿宋_GBK" w:hint="eastAsia"/>
          <w:kern w:val="2"/>
        </w:rPr>
        <w:t>2.项目立项审核情况</w:t>
      </w:r>
    </w:p>
    <w:p>
      <w:pPr>
        <w:pStyle w:val="19"/>
        <w:rPr>
          <w:rFonts w:ascii="宋体" w:eastAsia="宋体" w:cs="方正仿宋_GBK"/>
          <w:kern w:val="2"/>
        </w:rPr>
      </w:pPr>
      <w:r>
        <w:rPr>
          <w:rFonts w:ascii="宋体" w:eastAsia="宋体" w:cs="方正仿宋_GBK" w:hint="eastAsia"/>
          <w:kern w:val="2"/>
        </w:rPr>
        <w:t>本项目不属于新建、改建或者采用购买服务方式的政务应用程序项目。</w:t>
      </w:r>
    </w:p>
    <w:p>
      <w:pPr>
        <w:pStyle w:val="180"/>
        <w:rPr>
          <w:rFonts w:eastAsia="宋体"/>
        </w:rPr>
      </w:pPr>
    </w:p>
    <w:p>
      <w:pPr>
        <w:pStyle w:val="22"/>
        <w:numPr>
          <w:ilvl w:val="0"/>
          <w:numId w:val="2"/>
        </w:numPr>
        <w:outlineLvl w:val="1"/>
        <w:rPr>
          <w:rFonts w:ascii="宋体" w:eastAsia="宋体" w:hint="eastAsia"/>
        </w:rPr>
      </w:pPr>
      <w:r>
        <w:rPr>
          <w:rFonts w:ascii="宋体" w:eastAsia="宋体" w:hint="eastAsia"/>
        </w:rPr>
        <w:t>采购政策落实</w:t>
      </w:r>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7310"/>
              <w:jc w:val="center"/>
              <w:rPr>
                <w:rFonts w:ascii="宋体" w:cs="Calibri"/>
                <w:b/>
              </w:rPr>
            </w:pPr>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74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l2br w:val="nil"/>
              <w:tr2bl w:val="nil"/>
            </w:tcBorders>
            <w:shd w:val="clear" w:color="A6A6A6" w:fill="A6A6A6"/>
            <w:vAlign w:val="center"/>
          </w:tcPr>
          <w:p>
            <w:pPr>
              <w:pStyle w:val="7510"/>
              <w:jc w:val="center"/>
              <w:rPr>
                <w:rFonts w:ascii="宋体" w:cs="Calibri"/>
                <w:b/>
              </w:rPr>
            </w:pPr>
            <w:r>
              <w:rPr>
                <w:rFonts w:ascii="宋体" w:cs="Calibri" w:hint="eastAsia"/>
                <w:b/>
                <w:sz w:val="24"/>
              </w:rPr>
              <w:t>说明</w:t>
            </w:r>
          </w:p>
        </w:tc>
      </w:tr>
      <w:tr>
        <w:tblPrEx>
          <w:tblW w:w="9061" w:type="dxa"/>
          <w:jc w:val="left"/>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761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7710"/>
              <w:rPr>
                <w:rFonts w:ascii="宋体"/>
                <w:szCs w:val="21"/>
              </w:rPr>
            </w:pPr>
            <w:r>
              <w:rPr>
                <w:rFonts w:ascii="宋体" w:hint="eastAsia"/>
                <w:szCs w:val="21"/>
              </w:rPr>
              <w:t>是否面向中小企业</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7810"/>
              <w:jc w:val="left"/>
              <w:rPr>
                <w:rFonts w:ascii="宋体"/>
                <w:szCs w:val="21"/>
              </w:rPr>
            </w:pPr>
            <w:r>
              <w:rPr>
                <w:rFonts w:ascii="宋体" w:hint="eastAsia"/>
                <w:szCs w:val="21"/>
              </w:rPr>
              <w:t>是，提供《中小企业声明函》并加盖单位公章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791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80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8110"/>
              <w:rPr>
                <w:rFonts w:ascii="宋体" w:cs="Calibri"/>
                <w:b/>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821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831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8410"/>
              <w:rPr>
                <w:rFonts w:ascii="宋体" w:cs="Calibri"/>
                <w:b/>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8510"/>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86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8710"/>
              <w:rPr>
                <w:rFonts w:ascii="宋体"/>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881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89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9010"/>
              <w:rPr>
                <w:rFonts w:ascii="宋体"/>
                <w:i/>
                <w:iCs/>
                <w:szCs w:val="21"/>
              </w:rPr>
            </w:pPr>
            <w:r>
              <w:rPr>
                <w:rFonts w:ascii="宋体" w:hint="eastAsia"/>
                <w:szCs w:val="21"/>
              </w:rPr>
              <w:t>是，提供证明资料，并加盖单位公章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9110"/>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92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9310"/>
              <w:rPr>
                <w:rFonts w:ascii="宋体"/>
                <w:szCs w:val="21"/>
              </w:rPr>
            </w:pPr>
            <w:r>
              <w:rPr>
                <w:rFonts w:ascii="宋体" w:hint="eastAsia"/>
                <w:szCs w:val="21"/>
              </w:rPr>
              <w:t>是，提供《残疾人福利性单位声明函》并加盖单位公章</w:t>
            </w:r>
          </w:p>
        </w:tc>
      </w:tr>
    </w:tbl>
    <w:p>
      <w:pPr>
        <w:pStyle w:val="19"/>
        <w:rPr>
          <w:rFonts w:ascii="宋体" w:eastAsia="宋体"/>
          <w:color w:val="000000"/>
        </w:rPr>
      </w:pPr>
      <w:r>
        <w:rPr>
          <w:rFonts w:ascii="宋体" w:eastAsia="宋体" w:hint="eastAsia"/>
          <w:color w:val="000000"/>
        </w:rPr>
        <w:t>注：本项目专门面向中小企业、监狱企业、残疾人企业。</w:t>
      </w:r>
    </w:p>
    <w:p>
      <w:pPr>
        <w:pStyle w:val="22"/>
        <w:numPr>
          <w:ilvl w:val="0"/>
          <w:numId w:val="2"/>
        </w:numPr>
        <w:jc w:val="both"/>
        <w:outlineLvl w:val="1"/>
        <w:rPr>
          <w:rFonts w:ascii="宋体" w:eastAsia="宋体" w:hint="eastAsia"/>
        </w:rPr>
      </w:pPr>
      <w:r>
        <w:rPr>
          <w:rFonts w:ascii="宋体" w:eastAsia="宋体" w:hint="eastAsia"/>
        </w:rPr>
        <w:t>商务需求</w:t>
      </w:r>
    </w:p>
    <w:tbl>
      <w:tblPr>
        <w:tblW w:w="91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710"/>
        <w:gridCol w:w="6960"/>
      </w:tblGrid>
      <w:tr>
        <w:tblPrEx>
          <w:tblW w:w="91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tcBorders>
              <w:tl2br w:val="nil"/>
              <w:tr2bl w:val="nil"/>
            </w:tcBorders>
            <w:shd w:val="clear" w:color="A6A6A6" w:fill="A6A6A6"/>
            <w:vAlign w:val="center"/>
          </w:tcPr>
          <w:p>
            <w:pPr>
              <w:pStyle w:val="19"/>
              <w:ind w:firstLine="0"/>
              <w:jc w:val="center"/>
              <w:rPr>
                <w:rFonts w:ascii="宋体" w:eastAsia="宋体"/>
                <w:b/>
              </w:rPr>
            </w:pPr>
            <w:r>
              <w:rPr>
                <w:rFonts w:ascii="宋体" w:eastAsia="宋体" w:hint="eastAsia"/>
                <w:b/>
              </w:rPr>
              <w:t>序号</w:t>
            </w:r>
          </w:p>
        </w:tc>
        <w:tc>
          <w:tcPr>
            <w:tcW w:w="1710" w:type="dxa"/>
            <w:tcBorders>
              <w:tl2br w:val="nil"/>
              <w:tr2bl w:val="nil"/>
            </w:tcBorders>
            <w:shd w:val="clear" w:color="A6A6A6" w:fill="A6A6A6"/>
            <w:vAlign w:val="center"/>
          </w:tcPr>
          <w:p>
            <w:pPr>
              <w:pStyle w:val="19"/>
              <w:ind w:firstLine="0"/>
              <w:jc w:val="center"/>
              <w:rPr>
                <w:rFonts w:ascii="宋体" w:eastAsia="宋体"/>
                <w:b/>
              </w:rPr>
            </w:pPr>
            <w:r>
              <w:rPr>
                <w:rFonts w:ascii="宋体" w:eastAsia="宋体" w:hint="eastAsia"/>
                <w:b/>
              </w:rPr>
              <w:t>内容</w:t>
            </w:r>
          </w:p>
        </w:tc>
        <w:tc>
          <w:tcPr>
            <w:tcW w:w="6960" w:type="dxa"/>
            <w:tcBorders>
              <w:tl2br w:val="nil"/>
              <w:tr2bl w:val="nil"/>
            </w:tcBorders>
            <w:shd w:val="clear" w:color="A6A6A6" w:fill="A6A6A6"/>
            <w:vAlign w:val="center"/>
          </w:tcPr>
          <w:p>
            <w:pPr>
              <w:pStyle w:val="19"/>
              <w:ind w:firstLine="0"/>
              <w:jc w:val="center"/>
              <w:rPr>
                <w:rFonts w:ascii="宋体" w:eastAsia="宋体"/>
                <w:b/>
              </w:rPr>
            </w:pPr>
            <w:r>
              <w:rPr>
                <w:rFonts w:ascii="宋体" w:eastAsia="宋体" w:hint="eastAsia"/>
                <w:b/>
              </w:rPr>
              <w:t>说明</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b/>
              </w:rPr>
              <w:t>1</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投标人资质</w:t>
            </w:r>
          </w:p>
        </w:tc>
        <w:tc>
          <w:tcPr>
            <w:tcW w:w="6960" w:type="dxa"/>
            <w:tcBorders>
              <w:tl2br w:val="nil"/>
              <w:tr2bl w:val="nil"/>
            </w:tcBorders>
            <w:vAlign w:val="center"/>
          </w:tcPr>
          <w:p>
            <w:pPr>
              <w:pStyle w:val="200"/>
              <w:ind w:firstLine="0"/>
              <w:rPr>
                <w:rFonts w:eastAsia="宋体"/>
              </w:rPr>
            </w:pPr>
            <w:r>
              <w:t>投</w:t>
            </w:r>
            <w:r>
              <w:rPr>
                <w:rFonts w:eastAsia="宋体" w:hint="eastAsia"/>
              </w:rPr>
              <w:t>标人资格条件详见招标公告。</w:t>
            </w:r>
          </w:p>
          <w:p>
            <w:pPr>
              <w:pStyle w:val="200"/>
              <w:ind w:firstLine="0"/>
              <w:rPr>
                <w:rFonts w:eastAsia="宋体"/>
              </w:rPr>
            </w:pPr>
            <w:r>
              <w:rPr>
                <w:rFonts w:eastAsia="宋体" w:hint="eastAsia"/>
              </w:rPr>
              <w:t>其他资质证书：</w:t>
            </w:r>
          </w:p>
          <w:p>
            <w:pPr>
              <w:pStyle w:val="200"/>
              <w:ind w:firstLine="0"/>
              <w:rPr>
                <w:rFonts w:eastAsia="宋体"/>
              </w:rPr>
            </w:pPr>
            <w:r>
              <w:rPr>
                <w:rFonts w:eastAsia="宋体"/>
              </w:rPr>
              <w:t>1.</w:t>
            </w:r>
            <w:r>
              <w:rPr>
                <w:rFonts w:eastAsia="宋体" w:hint="eastAsia"/>
              </w:rPr>
              <w:t>投标人提供有效的ISO</w:t>
            </w:r>
            <w:r>
              <w:rPr>
                <w:rFonts w:eastAsia="宋体"/>
              </w:rPr>
              <w:t>27001信息安全管理体系认证证书。</w:t>
            </w:r>
          </w:p>
          <w:p>
            <w:pPr>
              <w:pStyle w:val="200"/>
              <w:ind w:firstLine="0"/>
              <w:rPr>
                <w:rFonts w:eastAsia="宋体"/>
              </w:rPr>
            </w:pPr>
            <w:r>
              <w:rPr>
                <w:rFonts w:eastAsia="宋体"/>
              </w:rPr>
              <w:t>2.</w:t>
            </w:r>
            <w:r>
              <w:rPr>
                <w:rFonts w:eastAsia="宋体" w:hint="eastAsia"/>
              </w:rPr>
              <w:t>投标人提供有效的ISO20000信息技术服务管理体系认证</w:t>
            </w:r>
            <w:r>
              <w:rPr>
                <w:rFonts w:eastAsia="宋体"/>
              </w:rPr>
              <w:t>证书</w:t>
            </w:r>
            <w:r>
              <w:rPr>
                <w:rFonts w:eastAsia="宋体" w:hint="eastAsia"/>
              </w:rPr>
              <w:t>。</w:t>
            </w:r>
          </w:p>
          <w:p>
            <w:pPr>
              <w:pStyle w:val="200"/>
              <w:ind w:firstLine="0"/>
              <w:rPr>
                <w:rFonts w:eastAsia="宋体"/>
              </w:rPr>
            </w:pPr>
            <w:r>
              <w:rPr>
                <w:rFonts w:ascii="宋体" w:eastAsia="宋体" w:cs="微软雅黑" w:hint="eastAsia"/>
                <w:szCs w:val="21"/>
              </w:rPr>
              <w:t>提供有效的证书复印件并加盖投标人公章，原件备查</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b/>
              </w:rPr>
              <w:t>2</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投标产品资质</w:t>
            </w:r>
          </w:p>
        </w:tc>
        <w:tc>
          <w:tcPr>
            <w:tcW w:w="6960" w:type="dxa"/>
            <w:tcBorders>
              <w:tl2br w:val="nil"/>
              <w:tr2bl w:val="nil"/>
            </w:tcBorders>
            <w:vAlign w:val="center"/>
          </w:tcPr>
          <w:p>
            <w:pPr>
              <w:pStyle w:val="200"/>
              <w:ind w:firstLine="0"/>
              <w:rPr>
                <w:lang w:bidi="en-US"/>
              </w:rPr>
            </w:pPr>
            <w:r>
              <w:rPr>
                <w:rFonts w:hint="eastAsia"/>
              </w:rPr>
              <w:t>无</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b/>
              </w:rPr>
            </w:pPr>
            <w:r>
              <w:rPr>
                <w:rFonts w:ascii="宋体" w:eastAsia="宋体" w:hint="eastAsia"/>
                <w:b/>
              </w:rPr>
              <w:t>3</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核心产品</w:t>
            </w:r>
          </w:p>
        </w:tc>
        <w:tc>
          <w:tcPr>
            <w:tcW w:w="6960" w:type="dxa"/>
            <w:tcBorders>
              <w:tl2br w:val="nil"/>
              <w:tr2bl w:val="nil"/>
            </w:tcBorders>
            <w:vAlign w:val="center"/>
          </w:tcPr>
          <w:p>
            <w:pPr>
              <w:pStyle w:val="200"/>
              <w:ind w:firstLine="0"/>
              <w:rPr>
                <w:lang w:bidi="en-US"/>
              </w:rPr>
            </w:pPr>
            <w:r>
              <w:rPr>
                <w:rFonts w:hint="eastAsia"/>
              </w:rPr>
              <w:t>无</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b/>
              </w:rPr>
              <w:t>4</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信息安全要求</w:t>
            </w:r>
          </w:p>
        </w:tc>
        <w:tc>
          <w:tcPr>
            <w:tcW w:w="6960" w:type="dxa"/>
            <w:tcBorders>
              <w:tl2br w:val="nil"/>
              <w:tr2bl w:val="nil"/>
            </w:tcBorders>
            <w:vAlign w:val="center"/>
          </w:tcPr>
          <w:p>
            <w:pPr>
              <w:pStyle w:val="200"/>
              <w:spacing w:line="560" w:lineRule="exact"/>
              <w:ind w:firstLine="0"/>
              <w:rPr>
                <w:rFonts w:ascii="方正仿宋_GBK" w:eastAsia="方正仿宋_GBK"/>
                <w:sz w:val="28"/>
                <w:szCs w:val="28"/>
              </w:rPr>
            </w:pPr>
            <w:r>
              <w:rPr>
                <w:rFonts w:ascii="宋体" w:eastAsia="宋体" w:cs="宋体" w:hint="eastAsia"/>
                <w:bCs/>
                <w:lang w:bidi="en-US"/>
              </w:rPr>
              <w:t xml:space="preserve">★ </w:t>
            </w:r>
            <w:r>
              <w:rPr>
                <w:rFonts w:ascii="宋体" w:eastAsia="宋体" w:cs="宋体" w:hint="eastAsia"/>
              </w:rPr>
              <w:t>投标人为采购人提供服务过程中不得设置可以禁用或绕过安全机制的组件及其他未经明示的功能模块；不得将与本项目相关的设计文档、源代码、配置文件、操作手册等相关信息在互联网上公布或托管。投标人须提供安全承诺书。</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rPr>
              <w:t>5</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是否需要现场考察</w:t>
            </w:r>
          </w:p>
        </w:tc>
        <w:tc>
          <w:tcPr>
            <w:tcW w:w="6960" w:type="dxa"/>
            <w:tcBorders>
              <w:tl2br w:val="nil"/>
              <w:tr2bl w:val="nil"/>
            </w:tcBorders>
            <w:vAlign w:val="center"/>
          </w:tcPr>
          <w:p>
            <w:pPr>
              <w:pStyle w:val="200"/>
              <w:ind w:firstLine="0"/>
              <w:rPr>
                <w:rFonts w:ascii="宋体" w:eastAsia="宋体"/>
                <w:lang w:bidi="en-US"/>
              </w:rPr>
            </w:pPr>
            <w:r>
              <w:rPr>
                <w:rFonts w:ascii="宋体" w:eastAsia="宋体" w:hint="eastAsia"/>
                <w:lang w:bidi="en-US"/>
              </w:rPr>
              <w:t>否</w:t>
            </w:r>
          </w:p>
        </w:tc>
      </w:tr>
      <w:tr>
        <w:tblPrEx>
          <w:tblW w:w="9108" w:type="dxa"/>
          <w:jc w:val="left"/>
          <w:tblLayout w:type="fixed"/>
          <w:tblCellMar>
            <w:top w:w="0" w:type="dxa"/>
            <w:left w:w="108" w:type="dxa"/>
            <w:bottom w:w="0" w:type="dxa"/>
            <w:right w:w="108" w:type="dxa"/>
          </w:tblCellMar>
        </w:tblPrEx>
        <w:trPr>
          <w:trHeight w:val="1020"/>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rPr>
              <w:t>6</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是否收取履约保证金</w:t>
            </w:r>
          </w:p>
        </w:tc>
        <w:tc>
          <w:tcPr>
            <w:tcW w:w="6960" w:type="dxa"/>
            <w:tcBorders>
              <w:tl2br w:val="nil"/>
              <w:tr2bl w:val="nil"/>
            </w:tcBorders>
            <w:vAlign w:val="center"/>
          </w:tcPr>
          <w:p>
            <w:pPr>
              <w:pStyle w:val="200"/>
              <w:ind w:firstLine="0"/>
              <w:rPr>
                <w:rFonts w:ascii="宋体" w:eastAsia="宋体"/>
                <w:lang w:bidi="en-US"/>
              </w:rPr>
            </w:pPr>
            <w:r>
              <w:rPr>
                <w:rFonts w:ascii="宋体" w:eastAsia="宋体" w:hint="eastAsia"/>
                <w:lang w:bidi="en-US"/>
              </w:rPr>
              <w:t>否</w:t>
            </w:r>
          </w:p>
        </w:tc>
      </w:tr>
      <w:tr>
        <w:tblPrEx>
          <w:tblW w:w="9108" w:type="dxa"/>
          <w:jc w:val="left"/>
          <w:tblLayout w:type="fixed"/>
          <w:tblCellMar>
            <w:top w:w="0" w:type="dxa"/>
            <w:left w:w="108" w:type="dxa"/>
            <w:bottom w:w="0" w:type="dxa"/>
            <w:right w:w="108" w:type="dxa"/>
          </w:tblCellMar>
        </w:tblPrEx>
        <w:trPr>
          <w:trHeight w:val="1019"/>
          <w:jc w:val="left"/>
        </w:trPr>
        <w:tc>
          <w:tcPr>
            <w:tcW w:w="438" w:type="dxa"/>
            <w:tcBorders>
              <w:tl2br w:val="nil"/>
              <w:tr2bl w:val="nil"/>
            </w:tcBorders>
            <w:vAlign w:val="center"/>
          </w:tcPr>
          <w:p>
            <w:pPr>
              <w:pStyle w:val="19"/>
              <w:ind w:firstLine="0"/>
              <w:jc w:val="center"/>
              <w:rPr>
                <w:rFonts w:ascii="宋体" w:eastAsia="宋体"/>
              </w:rPr>
            </w:pPr>
            <w:r>
              <w:rPr>
                <w:rFonts w:ascii="宋体" w:eastAsia="宋体" w:hint="eastAsia"/>
              </w:rPr>
              <w:t>7</w:t>
            </w:r>
          </w:p>
        </w:tc>
        <w:tc>
          <w:tcPr>
            <w:tcW w:w="1710" w:type="dxa"/>
            <w:tcBorders>
              <w:tl2br w:val="nil"/>
              <w:tr2bl w:val="nil"/>
            </w:tcBorders>
            <w:vAlign w:val="center"/>
          </w:tcPr>
          <w:p>
            <w:pPr>
              <w:pStyle w:val="19"/>
              <w:ind w:firstLine="0"/>
              <w:rPr>
                <w:rFonts w:ascii="宋体" w:eastAsia="宋体"/>
                <w:b/>
              </w:rPr>
            </w:pPr>
            <w:r>
              <w:rPr>
                <w:rFonts w:ascii="宋体" w:eastAsia="宋体" w:hint="eastAsia"/>
                <w:b/>
              </w:rPr>
              <w:t>支付方式</w:t>
            </w:r>
          </w:p>
        </w:tc>
        <w:tc>
          <w:tcPr>
            <w:tcW w:w="6960" w:type="dxa"/>
            <w:tcBorders>
              <w:tl2br w:val="nil"/>
              <w:tr2bl w:val="nil"/>
            </w:tcBorders>
            <w:vAlign w:val="center"/>
          </w:tcPr>
          <w:p>
            <w:pPr>
              <w:pStyle w:val="200"/>
              <w:ind w:firstLine="0"/>
              <w:rPr>
                <w:rFonts w:ascii="宋体" w:eastAsia="宋体"/>
                <w:lang w:bidi="en-US"/>
              </w:rPr>
            </w:pPr>
            <w:r>
              <w:rPr>
                <w:rFonts w:ascii="宋体" w:eastAsia="宋体" w:hint="eastAsia"/>
                <w:lang w:bidi="en-US"/>
              </w:rPr>
              <w:t>（1）合同签订完成，待驻场人员全部到位后，乙方提供驻场人员备案资料及符合甲方要求的对应金额正规发票，甲方向乙方支付合同总价款的30%。</w:t>
            </w:r>
          </w:p>
          <w:p>
            <w:pPr>
              <w:pStyle w:val="200"/>
              <w:ind w:firstLine="0"/>
              <w:rPr>
                <w:rFonts w:ascii="宋体" w:eastAsia="宋体"/>
                <w:lang w:bidi="en-US"/>
              </w:rPr>
            </w:pPr>
            <w:r>
              <w:rPr>
                <w:rFonts w:ascii="宋体" w:eastAsia="宋体" w:hint="eastAsia"/>
                <w:lang w:bidi="en-US"/>
              </w:rPr>
              <w:t>（2）合同签订6个月后，乙方提供运维报告等材料及符合甲方要求的对应金额正规发票，甲方向乙方支付合同总价款的20%。</w:t>
            </w:r>
          </w:p>
          <w:p>
            <w:pPr>
              <w:pStyle w:val="200"/>
              <w:ind w:firstLine="0"/>
              <w:rPr>
                <w:rFonts w:ascii="宋体" w:eastAsia="宋体"/>
                <w:lang w:bidi="en-US"/>
              </w:rPr>
            </w:pPr>
            <w:r>
              <w:rPr>
                <w:rFonts w:ascii="宋体" w:eastAsia="宋体" w:hint="eastAsia"/>
                <w:lang w:bidi="en-US"/>
              </w:rPr>
              <w:t>（3）合同签订12个月后，乙方按甲方要求提供验收材料及符合甲方要求的对应金额正规发票，经甲方验收通过后30日内，甲方向乙方支付合同总价款的50%。</w:t>
            </w:r>
          </w:p>
        </w:tc>
      </w:tr>
    </w:tbl>
    <w:p>
      <w:pPr>
        <w:pStyle w:val="22"/>
        <w:numPr>
          <w:ilvl w:val="0"/>
          <w:numId w:val="2"/>
        </w:numPr>
        <w:outlineLvl w:val="1"/>
        <w:rPr>
          <w:rFonts w:ascii="宋体" w:eastAsia="宋体" w:hint="eastAsia"/>
        </w:rPr>
      </w:pPr>
      <w:r>
        <w:rPr>
          <w:rFonts w:ascii="宋体" w:eastAsia="宋体" w:hint="eastAsia"/>
        </w:rPr>
        <w:t>项目概述</w:t>
      </w:r>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l2br w:val="nil"/>
              <w:tr2bl w:val="nil"/>
            </w:tcBorders>
            <w:shd w:val="clear" w:color="A6A6A6" w:fill="A6A6A6"/>
          </w:tcPr>
          <w:p>
            <w:pPr>
              <w:pStyle w:val="19"/>
              <w:ind w:firstLine="0"/>
              <w:jc w:val="center"/>
              <w:rPr>
                <w:rFonts w:ascii="宋体" w:eastAsia="宋体"/>
                <w:b/>
              </w:rPr>
            </w:pPr>
            <w:r>
              <w:rPr>
                <w:rFonts w:ascii="宋体" w:eastAsia="宋体" w:hint="eastAsia"/>
                <w:b/>
              </w:rPr>
              <w:t>序号</w:t>
            </w:r>
          </w:p>
        </w:tc>
        <w:tc>
          <w:tcPr>
            <w:tcW w:w="2631" w:type="dxa"/>
            <w:tcBorders>
              <w:top w:val="single" w:sz="4" w:space="0" w:color="auto"/>
              <w:left w:val="single" w:sz="4" w:space="0" w:color="auto"/>
              <w:bottom w:val="single" w:sz="4" w:space="0" w:color="auto"/>
              <w:right w:val="single" w:sz="4" w:space="0" w:color="auto"/>
              <w:tl2br w:val="nil"/>
              <w:tr2bl w:val="nil"/>
            </w:tcBorders>
            <w:shd w:val="clear" w:color="A6A6A6" w:fill="A6A6A6"/>
          </w:tcPr>
          <w:p>
            <w:pPr>
              <w:pStyle w:val="19"/>
              <w:ind w:firstLine="0"/>
              <w:jc w:val="center"/>
              <w:rPr>
                <w:rFonts w:ascii="宋体" w:eastAsia="宋体"/>
                <w:b/>
              </w:rPr>
            </w:pPr>
            <w:r>
              <w:rPr>
                <w:rFonts w:ascii="宋体" w:eastAsia="宋体" w:hint="eastAsia"/>
                <w:b/>
              </w:rPr>
              <w:t>内容</w:t>
            </w:r>
          </w:p>
        </w:tc>
        <w:tc>
          <w:tcPr>
            <w:tcW w:w="5672" w:type="dxa"/>
            <w:tcBorders>
              <w:top w:val="single" w:sz="4" w:space="0" w:color="auto"/>
              <w:left w:val="single" w:sz="4" w:space="0" w:color="auto"/>
              <w:bottom w:val="single" w:sz="4" w:space="0" w:color="auto"/>
              <w:right w:val="single" w:sz="4" w:space="0" w:color="auto"/>
              <w:tl2br w:val="nil"/>
              <w:tr2bl w:val="nil"/>
            </w:tcBorders>
            <w:shd w:val="clear" w:color="A6A6A6" w:fill="A6A6A6"/>
          </w:tcPr>
          <w:p>
            <w:pPr>
              <w:pStyle w:val="19"/>
              <w:ind w:firstLine="0"/>
              <w:jc w:val="center"/>
              <w:rPr>
                <w:rFonts w:ascii="宋体" w:eastAsia="宋体"/>
                <w:b/>
              </w:rPr>
            </w:pPr>
            <w:r>
              <w:rPr>
                <w:rFonts w:ascii="宋体" w:eastAsia="宋体" w:hint="eastAsia"/>
                <w:b/>
              </w:rPr>
              <w:t>说明</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b/>
              </w:rPr>
              <w:t>1</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项目背景</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200"/>
              <w:widowControl/>
              <w:jc w:val="left"/>
            </w:pPr>
            <w:r>
              <w:rPr>
                <w:rFonts w:hint="eastAsia"/>
              </w:rPr>
              <w:t>深圳作为全国最大的口岸城市之一，企业对于高效通关服务的需求不断增长。食品安全子系统</w:t>
            </w:r>
            <w:r>
              <w:t>(</w:t>
            </w:r>
            <w:r>
              <w:rPr>
                <w:rFonts w:hint="eastAsia"/>
              </w:rPr>
              <w:t>深圳海关</w:t>
            </w:r>
            <w:r>
              <w:t>)</w:t>
            </w:r>
            <w:r>
              <w:rPr>
                <w:rFonts w:hint="eastAsia"/>
              </w:rPr>
              <w:t>供港蔬菜应用、食品安全子系统</w:t>
            </w:r>
            <w:r>
              <w:t>(</w:t>
            </w:r>
            <w:r>
              <w:rPr>
                <w:rFonts w:hint="eastAsia"/>
              </w:rPr>
              <w:t>深圳海关</w:t>
            </w:r>
            <w:r>
              <w:t>)</w:t>
            </w:r>
            <w:r>
              <w:rPr>
                <w:rFonts w:hint="eastAsia"/>
              </w:rPr>
              <w:t>供港水果应用、食品安全子系统</w:t>
            </w:r>
            <w:r>
              <w:t>(</w:t>
            </w:r>
            <w:r>
              <w:rPr>
                <w:rFonts w:hint="eastAsia"/>
              </w:rPr>
              <w:t>深圳海关</w:t>
            </w:r>
            <w:r>
              <w:t>)</w:t>
            </w:r>
            <w:r>
              <w:rPr>
                <w:rFonts w:hint="eastAsia"/>
              </w:rPr>
              <w:t>进口食品追溯与风险预警应用、动植物检疫业务管理子系统</w:t>
            </w:r>
            <w:r>
              <w:t>(</w:t>
            </w:r>
            <w:r>
              <w:rPr>
                <w:rFonts w:hint="eastAsia"/>
              </w:rPr>
              <w:t>深圳海关</w:t>
            </w:r>
            <w:r>
              <w:t>)</w:t>
            </w:r>
            <w:r>
              <w:rPr>
                <w:rFonts w:hint="eastAsia"/>
              </w:rPr>
              <w:t>出口木质包装应用、检疫处理业务子系统</w:t>
            </w:r>
            <w:r>
              <w:t>(</w:t>
            </w:r>
            <w:r>
              <w:rPr>
                <w:rFonts w:hint="eastAsia"/>
              </w:rPr>
              <w:t>深圳海关</w:t>
            </w:r>
            <w:r>
              <w:t>)</w:t>
            </w:r>
            <w:r>
              <w:rPr>
                <w:rFonts w:hint="eastAsia"/>
              </w:rPr>
              <w:t>检疫处理业务应用、技术性贸易措施</w:t>
            </w:r>
            <w:r>
              <w:t>(</w:t>
            </w:r>
            <w:r>
              <w:rPr>
                <w:rFonts w:hint="eastAsia"/>
              </w:rPr>
              <w:t>技术规范</w:t>
            </w:r>
            <w:r>
              <w:t>)</w:t>
            </w:r>
            <w:r>
              <w:rPr>
                <w:rFonts w:hint="eastAsia"/>
              </w:rPr>
              <w:t>管理子系统</w:t>
            </w:r>
            <w:r>
              <w:t>(</w:t>
            </w:r>
            <w:r>
              <w:rPr>
                <w:rFonts w:hint="eastAsia"/>
              </w:rPr>
              <w:t>深圳海关</w:t>
            </w:r>
            <w:r>
              <w:t>)</w:t>
            </w:r>
            <w:r>
              <w:rPr>
                <w:rFonts w:hint="eastAsia"/>
              </w:rPr>
              <w:t>进口食品技术贸易措施研究中心网站等系统是提供给企业向海关申报、查询业务数据的对企服务信息化系统，相关系统为企业后续报关单数据的申报提供前置数据支撑，保障企业申报数据的安全快速传输。</w:t>
            </w:r>
          </w:p>
          <w:p>
            <w:pPr>
              <w:pStyle w:val="200"/>
              <w:ind w:firstLine="0"/>
              <w:rPr>
                <w:rFonts w:ascii="宋体" w:eastAsia="宋体"/>
                <w:lang w:bidi="en-US"/>
              </w:rPr>
            </w:pP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b/>
              </w:rPr>
              <w:t>2</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执行依据</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200"/>
              <w:ind w:firstLine="0"/>
              <w:rPr>
                <w:rFonts w:ascii="宋体" w:eastAsia="宋体"/>
                <w:lang w:bidi="en-US"/>
              </w:rPr>
            </w:pPr>
            <w:r>
              <w:rPr>
                <w:rFonts w:ascii="宋体" w:eastAsia="宋体" w:hint="eastAsia"/>
                <w:lang w:bidi="en-US"/>
              </w:rPr>
              <w:t>根据业务部门提出的相关业务需求，按照海关总署和深圳海关相关规定进行实施方案的编制工作。</w:t>
            </w:r>
          </w:p>
          <w:p>
            <w:pPr>
              <w:pStyle w:val="200"/>
              <w:ind w:firstLine="0"/>
              <w:rPr>
                <w:rFonts w:ascii="宋体" w:eastAsia="宋体"/>
                <w:lang w:bidi="en-US"/>
              </w:rPr>
            </w:pPr>
            <w:r>
              <w:rPr>
                <w:rFonts w:ascii="宋体" w:eastAsia="宋体" w:hint="eastAsia"/>
                <w:lang w:bidi="en-US"/>
              </w:rPr>
              <w:t>本项目执行的是“通关信息化服务费”专项资金，已纳入2025年预算。</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b/>
              </w:rPr>
              <w:t>3</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项目内容</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200"/>
              <w:ind w:firstLine="0"/>
            </w:pPr>
            <w:r>
              <w:rPr>
                <w:rFonts w:ascii="宋体" w:eastAsia="宋体" w:hint="eastAsia"/>
                <w:lang w:bidi="en-US"/>
              </w:rPr>
              <w:t>保障</w:t>
            </w:r>
            <w:r>
              <w:rPr>
                <w:rFonts w:ascii="宋体" w:eastAsia="宋体" w:cs="宋体" w:hint="eastAsia"/>
              </w:rPr>
              <w:t>食品安全子系统</w:t>
            </w:r>
            <w:r>
              <w:t>(</w:t>
            </w:r>
            <w:r>
              <w:rPr>
                <w:rFonts w:ascii="宋体" w:eastAsia="宋体" w:cs="宋体" w:hint="eastAsia"/>
              </w:rPr>
              <w:t>深圳海关</w:t>
            </w:r>
            <w:r>
              <w:t>)</w:t>
            </w:r>
            <w:r>
              <w:rPr>
                <w:rFonts w:ascii="宋体" w:eastAsia="宋体" w:cs="宋体" w:hint="eastAsia"/>
              </w:rPr>
              <w:t>供港蔬菜应用、食品安全子系统</w:t>
            </w:r>
            <w:r>
              <w:t>(</w:t>
            </w:r>
            <w:r>
              <w:rPr>
                <w:rFonts w:ascii="宋体" w:eastAsia="宋体" w:cs="宋体" w:hint="eastAsia"/>
              </w:rPr>
              <w:t>深圳海关</w:t>
            </w:r>
            <w:r>
              <w:t>)</w:t>
            </w:r>
            <w:r>
              <w:rPr>
                <w:rFonts w:ascii="宋体" w:eastAsia="宋体" w:cs="宋体" w:hint="eastAsia"/>
              </w:rPr>
              <w:t>供港水果应用、食品安全子系统</w:t>
            </w:r>
            <w:r>
              <w:t>(</w:t>
            </w:r>
            <w:r>
              <w:rPr>
                <w:rFonts w:ascii="宋体" w:eastAsia="宋体" w:cs="宋体" w:hint="eastAsia"/>
              </w:rPr>
              <w:t>深圳海关</w:t>
            </w:r>
            <w:r>
              <w:t>)</w:t>
            </w:r>
            <w:r>
              <w:rPr>
                <w:rFonts w:ascii="宋体" w:eastAsia="宋体" w:cs="宋体" w:hint="eastAsia"/>
              </w:rPr>
              <w:t>进口食品追溯与风险预警应用、动植物检疫业务管理子系统</w:t>
            </w:r>
            <w:r>
              <w:t>(</w:t>
            </w:r>
            <w:r>
              <w:rPr>
                <w:rFonts w:ascii="宋体" w:eastAsia="宋体" w:cs="宋体" w:hint="eastAsia"/>
              </w:rPr>
              <w:t>深圳海关</w:t>
            </w:r>
            <w:r>
              <w:t>)</w:t>
            </w:r>
            <w:r>
              <w:rPr>
                <w:rFonts w:ascii="宋体" w:eastAsia="宋体" w:cs="宋体" w:hint="eastAsia"/>
              </w:rPr>
              <w:t>出口木质包装应用、检疫处理业务子系统</w:t>
            </w:r>
            <w:r>
              <w:t>(</w:t>
            </w:r>
            <w:r>
              <w:rPr>
                <w:rFonts w:ascii="宋体" w:eastAsia="宋体" w:cs="宋体" w:hint="eastAsia"/>
              </w:rPr>
              <w:t>深圳海关</w:t>
            </w:r>
            <w:r>
              <w:t>)</w:t>
            </w:r>
            <w:r>
              <w:rPr>
                <w:rFonts w:ascii="宋体" w:eastAsia="宋体" w:cs="宋体" w:hint="eastAsia"/>
              </w:rPr>
              <w:t>检疫处理业务应用、技术性贸易措施</w:t>
            </w:r>
            <w:r>
              <w:t>(</w:t>
            </w:r>
            <w:r>
              <w:rPr>
                <w:rFonts w:ascii="宋体" w:eastAsia="宋体" w:cs="宋体" w:hint="eastAsia"/>
              </w:rPr>
              <w:t>技术规范</w:t>
            </w:r>
            <w:r>
              <w:t>)</w:t>
            </w:r>
            <w:r>
              <w:rPr>
                <w:rFonts w:ascii="宋体" w:eastAsia="宋体" w:cs="宋体" w:hint="eastAsia"/>
              </w:rPr>
              <w:t>管理子系统</w:t>
            </w:r>
            <w:r>
              <w:t>(</w:t>
            </w:r>
            <w:r>
              <w:rPr>
                <w:rFonts w:ascii="宋体" w:eastAsia="宋体" w:cs="宋体" w:hint="eastAsia"/>
              </w:rPr>
              <w:t>深圳海关</w:t>
            </w:r>
            <w:r>
              <w:t>)</w:t>
            </w:r>
            <w:r>
              <w:rPr>
                <w:rFonts w:ascii="宋体" w:eastAsia="宋体" w:cs="宋体" w:hint="eastAsia"/>
              </w:rPr>
              <w:t>进口食品技术贸易措施研究中心网站等系统的稳定安全运行，保障系统数据传输功能开发及优化等工作及时完成，增强对外网技术保障能力，提升通关信息化服务质量。做好相关信息系统的数据传输支持、系统优化更新、故障处理、维护配置、联调测试及系统管理等工作。</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rPr>
              <w:t>4</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项目范围</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200"/>
              <w:ind w:firstLine="0"/>
              <w:rPr>
                <w:rFonts w:ascii="宋体" w:eastAsia="宋体"/>
                <w:lang w:bidi="en-US"/>
              </w:rPr>
            </w:pPr>
            <w:r>
              <w:rPr>
                <w:rFonts w:ascii="宋体" w:eastAsia="宋体" w:hint="eastAsia"/>
                <w:lang w:bidi="en-US"/>
              </w:rPr>
              <w:t>1.数据交换技术支持。针对食品安全子系统(深圳海关)供港蔬菜应用、食品安全子系统(深圳海关)供港水果应用、动植物检疫业务管理子系统(深圳海关)出口木质包装应用、检疫处理业务子系统(深圳海关)检疫处理业务应用等系统的企业端及监管端，应用及数据库已拆分至电子口岸专网及管理网分别部署运行，目前已实现海关管理网通过对外接入局域网与电子口岸专网（互联网出口）的数据传输，数据交换技术支持服务用于保障这上述系统的数据顺利传输，实现数据交换服务的高效、平稳运行。</w:t>
            </w:r>
          </w:p>
          <w:p>
            <w:pPr>
              <w:pStyle w:val="200"/>
              <w:ind w:firstLine="0"/>
              <w:rPr>
                <w:rFonts w:ascii="宋体" w:eastAsia="宋体"/>
                <w:lang w:bidi="en-US"/>
              </w:rPr>
            </w:pPr>
            <w:r>
              <w:rPr>
                <w:rFonts w:ascii="宋体" w:eastAsia="宋体" w:hint="eastAsia"/>
                <w:lang w:bidi="en-US"/>
              </w:rPr>
              <w:t>2.食品安全子系统(深圳海关)供港蔬菜应用。深圳海关按照“预防为主、源头监管、全过程控制”原则，对深圳管辖的所有种植基地与加工厂实施从源头到加工出口全过程监管，对供港蔬菜种植场的农药采购使用实行严格检查，依托食品安全子系统(深圳海关)供港蔬菜应用，结合人工下场监管，对加工企业各个环节实施有效监控，实现全程溯源。</w:t>
            </w:r>
          </w:p>
          <w:p>
            <w:pPr>
              <w:pStyle w:val="200"/>
              <w:ind w:firstLine="0"/>
              <w:rPr>
                <w:rFonts w:ascii="宋体" w:eastAsia="宋体"/>
                <w:lang w:bidi="en-US"/>
              </w:rPr>
            </w:pPr>
            <w:r>
              <w:rPr>
                <w:rFonts w:ascii="宋体" w:eastAsia="宋体" w:hint="eastAsia"/>
                <w:lang w:bidi="en-US"/>
              </w:rPr>
              <w:t>3.食品安全子系统(深圳海关)供港水果应用。深圳海关按照“预防为主、源头监管、全过程控制”原则，对深圳管辖的所有包装厂与果园实施从源头到加工出口全过程监管，依托食品安全监管子系统（深圳海关）供港水果应用加强供港水果的检验检疫监管工作，规范供港水果业务监管工作，保障供港水果质量安全和稳定供应。</w:t>
            </w:r>
          </w:p>
          <w:p>
            <w:pPr>
              <w:pStyle w:val="200"/>
              <w:ind w:firstLine="0"/>
              <w:rPr>
                <w:rFonts w:ascii="宋体" w:eastAsia="宋体"/>
                <w:lang w:bidi="en-US"/>
              </w:rPr>
            </w:pPr>
            <w:r>
              <w:rPr>
                <w:rFonts w:ascii="宋体" w:eastAsia="宋体" w:hint="eastAsia"/>
                <w:lang w:bidi="en-US"/>
              </w:rPr>
              <w:t>4.动植物检疫业务管理子系统(深圳海关)出口木质包装应用。动植物检疫业务管理子系统(深圳海关)出口木质包装应用是利用先进的科技手段，实现对木质包装热处理过程数据的远程监控、和木质包装热处理业务的自动化管理；采用电子政务方式，实现无纸化操作，提高工作效率，提升管理水平，方便企业；建立完善的综合查询和统计功能，方便各部门对相关数据的查询和统计、统计报表的打印输出；建立完善的检企双方互动平台，实现资讯共享，方便各方信息交流。</w:t>
            </w:r>
          </w:p>
          <w:p>
            <w:pPr>
              <w:pStyle w:val="200"/>
              <w:ind w:firstLine="0"/>
              <w:rPr>
                <w:rFonts w:ascii="宋体" w:eastAsia="宋体"/>
                <w:lang w:bidi="en-US"/>
              </w:rPr>
            </w:pPr>
            <w:r>
              <w:rPr>
                <w:rFonts w:ascii="宋体" w:eastAsia="宋体" w:hint="eastAsia"/>
                <w:lang w:bidi="en-US"/>
              </w:rPr>
              <w:t>5.检疫处理业务子系统(深圳海关)检疫处理业务应用。该系统由监管端、企业端等部分组成。实现了出入境检疫处理工作全过程信息化管理，包含数据采集、处理指征分析、检疫处理判定等功能模块，系统涉及作业系统和服务系统两大类，其中监管执法归属作业系统类，信息服务对企应用等归属服务系统。</w:t>
            </w:r>
          </w:p>
          <w:p>
            <w:pPr>
              <w:pStyle w:val="200"/>
              <w:ind w:firstLine="0"/>
              <w:rPr>
                <w:rFonts w:ascii="宋体" w:eastAsia="宋体"/>
                <w:lang w:bidi="en-US"/>
              </w:rPr>
            </w:pPr>
            <w:r>
              <w:rPr>
                <w:rFonts w:ascii="宋体" w:eastAsia="宋体" w:hint="eastAsia"/>
                <w:lang w:bidi="en-US"/>
              </w:rPr>
              <w:t>6.食品安全子系统(深圳海关)进口食品追溯与风险预警应用。本项目建立进口食品以(国内)进口商为责任人的进口食品追溯机制；建立以食品输出国家、生产企业、食品类别、食品品名以及风险项目为检索关键内容的进口食品预警机制；以进口批为基础将追溯信息与预警信息结合，实现进口食品追溯与预警信息化。为相关政府部门提供进口食品追溯与风险预警信息化支撑；为相关科研工作提供数据支撑;为进口食品相关企业提供追溯和预警信息查询服务；为进口食品消费者提供追溯和预警信息查询服务。</w:t>
            </w:r>
          </w:p>
          <w:p>
            <w:pPr>
              <w:pStyle w:val="200"/>
              <w:ind w:firstLine="0"/>
              <w:rPr>
                <w:rFonts w:ascii="宋体" w:eastAsia="宋体"/>
                <w:lang w:bidi="en-US"/>
              </w:rPr>
            </w:pPr>
            <w:r>
              <w:rPr>
                <w:rFonts w:ascii="宋体" w:eastAsia="宋体" w:hint="eastAsia"/>
                <w:lang w:bidi="en-US"/>
              </w:rPr>
              <w:t>7.技术性贸易措施(技术规范)管理子系统(深圳海关)进口食品技术贸易措施研究中心网站。进口食品技术性贸易措施研究为基础，以提供舆情信息挖掘，数据推送为手段，平台在发现食品安全问题时，能够及时进行数据分析和计算，及时推送给企业和相关部门，同时通过各部门的食品信息归集和部门间的食品信息基享，实现部门间的业务配合、协同监管，形成监管合，保障食品安全。</w:t>
            </w:r>
          </w:p>
          <w:p>
            <w:pPr>
              <w:pStyle w:val="200"/>
              <w:ind w:firstLine="0"/>
              <w:rPr>
                <w:rFonts w:ascii="宋体" w:eastAsia="宋体"/>
                <w:lang w:bidi="en-US"/>
              </w:rPr>
            </w:pPr>
            <w:r>
              <w:rPr>
                <w:rFonts w:ascii="宋体" w:eastAsia="宋体" w:hint="eastAsia"/>
                <w:lang w:bidi="en-US"/>
              </w:rPr>
              <w:t>8.广东省数据资源一网共享平台深圳市分节点(深圳海关)。广东省数据资源一网共享平台深圳分节点(深圳海关)是用于深圳海关与深圳市其他政府单位关于深圳企业的进出口数据、认证数据、失信数据的共享通道。通过在一网共享平台统一维护数据资源，统一管理新增、变更、挂接数据资源目录，实时同步企业的数据资源。</w:t>
            </w:r>
          </w:p>
          <w:p>
            <w:pPr>
              <w:pStyle w:val="200"/>
              <w:ind w:firstLine="0"/>
              <w:rPr>
                <w:rFonts w:ascii="宋体" w:eastAsia="宋体"/>
                <w:lang w:bidi="en-US"/>
              </w:rPr>
            </w:pPr>
            <w:r>
              <w:rPr>
                <w:rFonts w:ascii="宋体" w:eastAsia="宋体" w:hint="eastAsia"/>
                <w:lang w:bidi="en-US"/>
              </w:rPr>
              <w:t>9.进口食品签证信息抓取。口岸端通过管理端配置的规则实时将符合规则的报关单数据推送至管理端进行统计分析报关单入境检验检疫证明办理耗时，通过分析环节耗时来简化企业办理入境检验检疫相关流程，提高效率。项目分为口岸端以及管理端。口岸端主要为抓取数据实时的处理的时间、过滤报关单数据以及将相应数据推送至管理端。管理主要配置数据抓取规则以及数据时间上的统计分析，规则分为企业信息，商品信息两个模块；统计分析分为报关单入境检验检疫证明耗时以及已未开证明统计展示，为智慧化建设提供支撑。</w:t>
            </w:r>
          </w:p>
          <w:p>
            <w:pPr>
              <w:pStyle w:val="200"/>
              <w:ind w:firstLine="0"/>
              <w:rPr>
                <w:rFonts w:ascii="宋体" w:eastAsia="宋体"/>
                <w:lang w:bidi="en-US"/>
              </w:rPr>
            </w:pPr>
            <w:r>
              <w:rPr>
                <w:rFonts w:ascii="宋体" w:eastAsia="宋体" w:hint="eastAsia"/>
                <w:lang w:bidi="en-US"/>
              </w:rPr>
              <w:t>10.内外网数据交换(1、MQ通道、2、Nginx配置)。本系统是采用双通道技术架构实现电子口岸专网与深圳海关管理网的安全高效互联。系统创新性融合IBM MQ消息中间件与Nginx反向代理技术，构建起"物理隔离、逻辑互通"的跨网数据交换体系。</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rPr>
              <w:t>5</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需求分析</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19"/>
              <w:autoSpaceDN w:val="0"/>
              <w:adjustRightInd w:val="0"/>
              <w:ind w:firstLine="480" w:firstLineChars="200"/>
            </w:pPr>
            <w:r>
              <w:rPr>
                <w:rFonts w:hint="eastAsia"/>
              </w:rPr>
              <w:t>为保证相关系统的正常稳定运行，保障系统相关数据传输功能开发及优化等工作及时完成，拟采购第三方专业运维技术服务，继续做好相关信息系统的数据传输支持、系统优化更新、故障处理、维护配置、联调测试及系统管理等工作。</w:t>
            </w:r>
          </w:p>
          <w:p>
            <w:pPr>
              <w:pStyle w:val="19"/>
            </w:pPr>
            <w:r>
              <w:rPr>
                <w:rFonts w:hint="eastAsia"/>
              </w:rPr>
              <w:t>食品安全子系统</w:t>
            </w:r>
            <w:r>
              <w:t>(</w:t>
            </w:r>
            <w:r>
              <w:rPr>
                <w:rFonts w:hint="eastAsia"/>
              </w:rPr>
              <w:t>深圳海关</w:t>
            </w:r>
            <w:r>
              <w:t>)</w:t>
            </w:r>
            <w:r>
              <w:rPr>
                <w:rFonts w:hint="eastAsia"/>
              </w:rPr>
              <w:t>供港蔬菜应用、食品安全子系统</w:t>
            </w:r>
            <w:r>
              <w:t>(</w:t>
            </w:r>
            <w:r>
              <w:rPr>
                <w:rFonts w:hint="eastAsia"/>
              </w:rPr>
              <w:t>深圳海关</w:t>
            </w:r>
            <w:r>
              <w:t>)</w:t>
            </w:r>
            <w:r>
              <w:rPr>
                <w:rFonts w:hint="eastAsia"/>
              </w:rPr>
              <w:t>供港水果应用、食品安全子系统</w:t>
            </w:r>
            <w:r>
              <w:t>(</w:t>
            </w:r>
            <w:r>
              <w:rPr>
                <w:rFonts w:hint="eastAsia"/>
              </w:rPr>
              <w:t>深圳海关</w:t>
            </w:r>
            <w:r>
              <w:t>)</w:t>
            </w:r>
            <w:r>
              <w:rPr>
                <w:rFonts w:hint="eastAsia"/>
              </w:rPr>
              <w:t>进口食品追溯与风险预警应用、动植物检疫业务管理子系统</w:t>
            </w:r>
            <w:r>
              <w:t>(</w:t>
            </w:r>
            <w:r>
              <w:rPr>
                <w:rFonts w:hint="eastAsia"/>
              </w:rPr>
              <w:t>深圳海关</w:t>
            </w:r>
            <w:r>
              <w:t>)</w:t>
            </w:r>
            <w:r>
              <w:rPr>
                <w:rFonts w:hint="eastAsia"/>
              </w:rPr>
              <w:t>出口木质包装应用、检疫处理业务子系统</w:t>
            </w:r>
            <w:r>
              <w:t>(</w:t>
            </w:r>
            <w:r>
              <w:rPr>
                <w:rFonts w:hint="eastAsia"/>
              </w:rPr>
              <w:t>深圳海关</w:t>
            </w:r>
            <w:r>
              <w:t>)</w:t>
            </w:r>
            <w:r>
              <w:rPr>
                <w:rFonts w:hint="eastAsia"/>
              </w:rPr>
              <w:t>检疫处理业务应用、技术性贸易措施</w:t>
            </w:r>
            <w:r>
              <w:t>(</w:t>
            </w:r>
            <w:r>
              <w:rPr>
                <w:rFonts w:hint="eastAsia"/>
              </w:rPr>
              <w:t>技术规范</w:t>
            </w:r>
            <w:r>
              <w:t>)</w:t>
            </w:r>
            <w:r>
              <w:rPr>
                <w:rFonts w:hint="eastAsia"/>
              </w:rPr>
              <w:t>管理子系统</w:t>
            </w:r>
            <w:r>
              <w:t>(</w:t>
            </w:r>
            <w:r>
              <w:rPr>
                <w:rFonts w:hint="eastAsia"/>
              </w:rPr>
              <w:t>深圳海关</w:t>
            </w:r>
            <w:r>
              <w:t>)</w:t>
            </w:r>
            <w:r>
              <w:rPr>
                <w:rFonts w:hint="eastAsia"/>
              </w:rPr>
              <w:t>进口食品技术贸易措施研究中心网站等系统是深圳进出口企业对海关进行通关申报的支持系统，每天处理大量涉及动植物产品、木质包装的企业申报数据，保障上述系统的稳定运行对深圳市乃至全国的外贸发展都具有积极影响。</w:t>
            </w:r>
          </w:p>
          <w:p>
            <w:pPr>
              <w:pStyle w:val="19"/>
              <w:rPr>
                <w:rFonts w:ascii="宋体" w:hAnsi="宋体"/>
                <w:lang w:bidi="en-US"/>
              </w:rPr>
            </w:pPr>
            <w:r>
              <w:rPr>
                <w:rFonts w:hint="eastAsia"/>
              </w:rPr>
              <w:t>当前，人力驻场服务是现代</w:t>
            </w:r>
            <w:r>
              <w:rPr>
                <w:rFonts w:ascii="宋体" w:hAnsi="宋体" w:hint="eastAsia"/>
              </w:rPr>
              <w:t>信息化</w:t>
            </w:r>
            <w:r>
              <w:rPr>
                <w:rFonts w:hint="eastAsia"/>
              </w:rPr>
              <w:t>系统常见的运维模式，一是它可以帮助降低</w:t>
            </w:r>
            <w:r>
              <w:rPr>
                <w:rFonts w:ascii="宋体" w:hAnsi="宋体" w:hint="eastAsia"/>
              </w:rPr>
              <w:t>信息化</w:t>
            </w:r>
            <w:r>
              <w:rPr>
                <w:rFonts w:hint="eastAsia"/>
              </w:rPr>
              <w:t>系统运维成本，更好地利用资源，同时保持高效率和低成本；二是提高</w:t>
            </w:r>
            <w:r>
              <w:rPr>
                <w:rFonts w:ascii="宋体" w:hAnsi="宋体" w:hint="eastAsia"/>
              </w:rPr>
              <w:t>信息化</w:t>
            </w:r>
            <w:r>
              <w:rPr>
                <w:rFonts w:hint="eastAsia"/>
              </w:rPr>
              <w:t>系统安全性和稳定性，外部</w:t>
            </w:r>
            <w:r>
              <w:rPr>
                <w:rFonts w:ascii="宋体" w:hAnsi="宋体" w:hint="eastAsia"/>
              </w:rPr>
              <w:t>信息化系统</w:t>
            </w:r>
            <w:r>
              <w:rPr>
                <w:rFonts w:hint="eastAsia"/>
              </w:rPr>
              <w:t>运维团队通常具备丰富的经验和专业知识，可以识别并解决潜在的安全问题，提高系统的稳定性和可靠性的同时管理其数据和网络，以确保数据的完整性和保密性。</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jc w:val="center"/>
              <w:rPr>
                <w:rFonts w:ascii="宋体" w:eastAsia="宋体"/>
              </w:rPr>
            </w:pPr>
            <w:r>
              <w:rPr>
                <w:rFonts w:ascii="宋体" w:eastAsia="宋体" w:hint="eastAsia"/>
              </w:rPr>
              <w:t>6</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rPr>
                <w:rFonts w:ascii="宋体" w:eastAsia="宋体"/>
                <w:b/>
              </w:rPr>
            </w:pPr>
            <w:r>
              <w:rPr>
                <w:rFonts w:ascii="宋体" w:eastAsia="宋体" w:hint="eastAsia"/>
                <w:b/>
              </w:rPr>
              <w:t>与前期项目的关系</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200"/>
              <w:ind w:firstLine="0"/>
            </w:pPr>
            <w:r>
              <w:rPr>
                <w:rFonts w:hint="eastAsia"/>
              </w:rPr>
              <w:t>承接前期项目</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l2br w:val="nil"/>
              <w:tr2bl w:val="nil"/>
            </w:tcBorders>
            <w:vAlign w:val="center"/>
          </w:tcPr>
          <w:p>
            <w:pPr>
              <w:pStyle w:val="211"/>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l2br w:val="nil"/>
              <w:tr2bl w:val="nil"/>
            </w:tcBorders>
            <w:vAlign w:val="center"/>
          </w:tcPr>
          <w:p>
            <w:pPr>
              <w:pStyle w:val="220"/>
              <w:ind w:firstLine="0"/>
              <w:rPr>
                <w:rFonts w:ascii="宋体" w:eastAsia="宋体"/>
                <w:b/>
              </w:rPr>
            </w:pPr>
            <w:r>
              <w:rPr>
                <w:rFonts w:hint="eastAsia"/>
              </w:rPr>
              <w:t>★</w:t>
            </w:r>
            <w:r>
              <w:rPr>
                <w:rFonts w:ascii="宋体" w:eastAsia="宋体" w:hint="eastAsia"/>
                <w:b/>
              </w:rPr>
              <w:t>项目履约时间</w:t>
            </w:r>
          </w:p>
        </w:tc>
        <w:tc>
          <w:tcPr>
            <w:tcW w:w="5672" w:type="dxa"/>
            <w:tcBorders>
              <w:top w:val="single" w:sz="4" w:space="0" w:color="auto"/>
              <w:left w:val="single" w:sz="4" w:space="0" w:color="auto"/>
              <w:bottom w:val="single" w:sz="4" w:space="0" w:color="auto"/>
              <w:right w:val="single" w:sz="4" w:space="0" w:color="auto"/>
              <w:tl2br w:val="nil"/>
              <w:tr2bl w:val="nil"/>
            </w:tcBorders>
            <w:vAlign w:val="center"/>
          </w:tcPr>
          <w:p>
            <w:pPr>
              <w:pStyle w:val="19"/>
              <w:ind w:firstLine="0"/>
            </w:pPr>
            <w:r>
              <w:rPr>
                <w:rFonts w:hint="eastAsia"/>
              </w:rPr>
              <w:t>自合同签订</w:t>
            </w:r>
            <w:r>
              <w:rPr>
                <w:rFonts w:hint="eastAsia"/>
                <w:color w:val="000000"/>
              </w:rPr>
              <w:t>起1年</w:t>
            </w:r>
            <w:r>
              <w:rPr>
                <w:color w:val="000000"/>
              </w:rPr>
              <w:t>，提供承诺函并加盖单位公章。</w:t>
            </w:r>
          </w:p>
        </w:tc>
      </w:tr>
    </w:tbl>
    <w:p>
      <w:pPr>
        <w:pStyle w:val="19"/>
        <w:rPr>
          <w:rFonts w:ascii="宋体" w:eastAsia="宋体"/>
        </w:rPr>
      </w:pPr>
    </w:p>
    <w:p>
      <w:pPr>
        <w:pStyle w:val="22"/>
        <w:numPr>
          <w:ilvl w:val="0"/>
          <w:numId w:val="2"/>
        </w:numPr>
        <w:outlineLvl w:val="1"/>
        <w:rPr>
          <w:rFonts w:ascii="宋体" w:eastAsia="宋体" w:hint="eastAsia"/>
        </w:rPr>
      </w:pPr>
      <w:r>
        <w:rPr>
          <w:rFonts w:ascii="宋体" w:eastAsia="宋体" w:hint="eastAsia"/>
        </w:rPr>
        <w:t>集成需求</w:t>
      </w:r>
    </w:p>
    <w:tbl>
      <w:tblPr>
        <w:tblW w:w="8522"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625" w:type="dxa"/>
            <w:tcBorders>
              <w:tl2br w:val="nil"/>
              <w:tr2bl w:val="nil"/>
            </w:tcBorders>
            <w:shd w:val="clear" w:color="A6A6A6" w:fill="A6A6A6"/>
          </w:tcPr>
          <w:p>
            <w:pPr>
              <w:pStyle w:val="19"/>
              <w:ind w:firstLine="0"/>
              <w:jc w:val="center"/>
              <w:rPr>
                <w:rFonts w:ascii="宋体" w:eastAsia="宋体"/>
                <w:b/>
              </w:rPr>
            </w:pPr>
            <w:r>
              <w:rPr>
                <w:rFonts w:ascii="宋体" w:eastAsia="宋体" w:hint="eastAsia"/>
                <w:b/>
              </w:rPr>
              <w:t>序号</w:t>
            </w:r>
          </w:p>
        </w:tc>
        <w:tc>
          <w:tcPr>
            <w:tcW w:w="1984" w:type="dxa"/>
            <w:tcBorders>
              <w:tl2br w:val="nil"/>
              <w:tr2bl w:val="nil"/>
            </w:tcBorders>
            <w:shd w:val="clear" w:color="A6A6A6" w:fill="A6A6A6"/>
          </w:tcPr>
          <w:p>
            <w:pPr>
              <w:pStyle w:val="19"/>
              <w:ind w:firstLine="0"/>
              <w:jc w:val="center"/>
              <w:rPr>
                <w:rFonts w:ascii="宋体" w:eastAsia="宋体"/>
                <w:b/>
              </w:rPr>
            </w:pPr>
            <w:r>
              <w:rPr>
                <w:rFonts w:ascii="宋体" w:eastAsia="宋体" w:hint="eastAsia"/>
                <w:b/>
              </w:rPr>
              <w:t>内容</w:t>
            </w:r>
          </w:p>
        </w:tc>
        <w:tc>
          <w:tcPr>
            <w:tcW w:w="4197" w:type="dxa"/>
            <w:tcBorders>
              <w:tl2br w:val="nil"/>
              <w:tr2bl w:val="nil"/>
            </w:tcBorders>
            <w:shd w:val="clear" w:color="A6A6A6" w:fill="A6A6A6"/>
          </w:tcPr>
          <w:p>
            <w:pPr>
              <w:pStyle w:val="19"/>
              <w:ind w:firstLine="0"/>
              <w:jc w:val="center"/>
              <w:rPr>
                <w:rFonts w:ascii="宋体" w:eastAsia="宋体"/>
                <w:b/>
              </w:rPr>
            </w:pPr>
            <w:r>
              <w:rPr>
                <w:rFonts w:ascii="宋体" w:eastAsia="宋体" w:hint="eastAsia"/>
                <w:b/>
              </w:rPr>
              <w:t>说明</w:t>
            </w:r>
          </w:p>
        </w:tc>
        <w:tc>
          <w:tcPr>
            <w:tcW w:w="1716" w:type="dxa"/>
            <w:tcBorders>
              <w:tl2br w:val="nil"/>
              <w:tr2bl w:val="nil"/>
            </w:tcBorders>
            <w:shd w:val="clear" w:color="A6A6A6" w:fill="A6A6A6"/>
          </w:tcPr>
          <w:p>
            <w:pPr>
              <w:pStyle w:val="19"/>
              <w:ind w:firstLine="0"/>
              <w:jc w:val="center"/>
              <w:rPr>
                <w:rFonts w:ascii="宋体" w:eastAsia="宋体"/>
                <w:b/>
              </w:rPr>
            </w:pPr>
            <w:r>
              <w:rPr>
                <w:rFonts w:ascii="宋体" w:eastAsia="宋体" w:hint="eastAsia"/>
                <w:b/>
              </w:rPr>
              <w:t>证明材料要求</w:t>
            </w:r>
          </w:p>
        </w:tc>
      </w:tr>
      <w:tr>
        <w:tblPrEx>
          <w:tblW w:w="8522" w:type="dxa"/>
          <w:jc w:val="left"/>
          <w:tblLayout w:type="fixed"/>
          <w:tblCellMar>
            <w:top w:w="0" w:type="dxa"/>
            <w:left w:w="108" w:type="dxa"/>
            <w:bottom w:w="0" w:type="dxa"/>
            <w:right w:w="108" w:type="dxa"/>
          </w:tblCellMar>
        </w:tblPrEx>
        <w:trPr>
          <w:trHeight w:val="1601"/>
          <w:jc w:val="left"/>
        </w:trPr>
        <w:tc>
          <w:tcPr>
            <w:tcW w:w="625" w:type="dxa"/>
            <w:tcBorders>
              <w:tl2br w:val="nil"/>
              <w:tr2bl w:val="nil"/>
            </w:tcBorders>
            <w:vAlign w:val="center"/>
          </w:tcPr>
          <w:p>
            <w:pPr>
              <w:pStyle w:val="19"/>
              <w:ind w:firstLine="0"/>
              <w:jc w:val="center"/>
              <w:rPr>
                <w:rFonts w:ascii="宋体" w:eastAsia="宋体"/>
              </w:rPr>
            </w:pPr>
            <w:r>
              <w:rPr>
                <w:rFonts w:ascii="宋体" w:eastAsia="宋体" w:hint="eastAsia"/>
                <w:b/>
              </w:rPr>
              <w:t>1</w:t>
            </w:r>
          </w:p>
        </w:tc>
        <w:tc>
          <w:tcPr>
            <w:tcW w:w="1984" w:type="dxa"/>
            <w:tcBorders>
              <w:tl2br w:val="nil"/>
              <w:tr2bl w:val="nil"/>
            </w:tcBorders>
            <w:vAlign w:val="center"/>
          </w:tcPr>
          <w:p>
            <w:pPr>
              <w:pStyle w:val="19"/>
              <w:ind w:firstLine="0"/>
              <w:rPr>
                <w:rFonts w:ascii="宋体" w:eastAsia="宋体"/>
                <w:b/>
              </w:rPr>
            </w:pPr>
            <w:r>
              <w:rPr>
                <w:rFonts w:ascii="宋体" w:eastAsia="宋体" w:hint="eastAsia"/>
                <w:b/>
              </w:rPr>
              <w:t>业务需求</w:t>
            </w:r>
          </w:p>
        </w:tc>
        <w:tc>
          <w:tcPr>
            <w:tcW w:w="4197" w:type="dxa"/>
            <w:tcBorders>
              <w:tl2br w:val="nil"/>
              <w:tr2bl w:val="nil"/>
            </w:tcBorders>
            <w:vAlign w:val="center"/>
          </w:tcPr>
          <w:p>
            <w:pPr>
              <w:pStyle w:val="200"/>
              <w:spacing w:line="240" w:lineRule="auto"/>
              <w:ind w:firstLine="0"/>
              <w:rPr>
                <w:rFonts w:eastAsia="宋体"/>
              </w:rPr>
            </w:pPr>
            <w:r>
              <w:rPr>
                <w:rFonts w:eastAsia="宋体"/>
              </w:rPr>
              <w:t>无</w:t>
            </w:r>
          </w:p>
        </w:tc>
        <w:tc>
          <w:tcPr>
            <w:tcW w:w="1716" w:type="dxa"/>
            <w:tcBorders>
              <w:tl2br w:val="nil"/>
              <w:tr2bl w:val="nil"/>
            </w:tcBorders>
            <w:vAlign w:val="center"/>
          </w:tcPr>
          <w:p>
            <w:pPr>
              <w:pStyle w:val="200"/>
              <w:spacing w:line="240" w:lineRule="auto"/>
              <w:ind w:firstLine="0"/>
              <w:rPr>
                <w:rFonts w:ascii="宋体" w:eastAsia="宋体"/>
                <w:lang w:bidi="en-US"/>
              </w:rPr>
            </w:pPr>
            <w:r>
              <w:rPr>
                <w:rFonts w:ascii="宋体" w:eastAsia="宋体" w:hint="eastAsia"/>
                <w:lang w:bidi="en-US"/>
              </w:rPr>
              <w:t>否</w:t>
            </w:r>
          </w:p>
        </w:tc>
      </w:tr>
      <w:tr>
        <w:tblPrEx>
          <w:tblW w:w="8522" w:type="dxa"/>
          <w:jc w:val="left"/>
          <w:tblLayout w:type="fixed"/>
          <w:tblCellMar>
            <w:top w:w="0" w:type="dxa"/>
            <w:left w:w="108" w:type="dxa"/>
            <w:bottom w:w="0" w:type="dxa"/>
            <w:right w:w="108" w:type="dxa"/>
          </w:tblCellMar>
        </w:tblPrEx>
        <w:trPr>
          <w:trHeight w:val="1601"/>
          <w:jc w:val="left"/>
        </w:trPr>
        <w:tc>
          <w:tcPr>
            <w:tcW w:w="625" w:type="dxa"/>
            <w:tcBorders>
              <w:tl2br w:val="nil"/>
              <w:tr2bl w:val="nil"/>
            </w:tcBorders>
            <w:vAlign w:val="center"/>
          </w:tcPr>
          <w:p>
            <w:pPr>
              <w:pStyle w:val="19"/>
              <w:ind w:firstLine="0"/>
              <w:jc w:val="center"/>
              <w:rPr>
                <w:rFonts w:ascii="宋体" w:eastAsia="宋体"/>
              </w:rPr>
            </w:pPr>
            <w:r>
              <w:rPr>
                <w:rFonts w:ascii="宋体" w:eastAsia="宋体" w:hint="eastAsia"/>
                <w:b/>
              </w:rPr>
              <w:t>2</w:t>
            </w:r>
          </w:p>
        </w:tc>
        <w:tc>
          <w:tcPr>
            <w:tcW w:w="1984" w:type="dxa"/>
            <w:tcBorders>
              <w:tl2br w:val="nil"/>
              <w:tr2bl w:val="nil"/>
            </w:tcBorders>
            <w:vAlign w:val="center"/>
          </w:tcPr>
          <w:p>
            <w:pPr>
              <w:pStyle w:val="19"/>
              <w:ind w:firstLine="0"/>
              <w:rPr>
                <w:rFonts w:ascii="宋体" w:eastAsia="宋体"/>
                <w:b/>
              </w:rPr>
            </w:pPr>
            <w:r>
              <w:rPr>
                <w:rFonts w:ascii="宋体" w:eastAsia="宋体" w:hint="eastAsia"/>
                <w:b/>
              </w:rPr>
              <w:t>技术需求</w:t>
            </w:r>
          </w:p>
        </w:tc>
        <w:tc>
          <w:tcPr>
            <w:tcW w:w="4197" w:type="dxa"/>
            <w:tcBorders>
              <w:tl2br w:val="nil"/>
              <w:tr2bl w:val="nil"/>
            </w:tcBorders>
            <w:vAlign w:val="center"/>
          </w:tcPr>
          <w:p>
            <w:pPr>
              <w:pStyle w:val="19"/>
              <w:autoSpaceDN w:val="0"/>
              <w:adjustRightInd w:val="0"/>
              <w:spacing w:line="560" w:lineRule="exact"/>
              <w:ind w:firstLine="0"/>
            </w:pPr>
            <w:r>
              <w:rPr>
                <w:rFonts w:hint="eastAsia"/>
              </w:rPr>
              <w:t>开发工具：VSCODE、Visual Studio、IDEA 、Eclipse、PowerDesigner；</w:t>
            </w:r>
          </w:p>
          <w:p>
            <w:pPr>
              <w:pStyle w:val="19"/>
              <w:autoSpaceDN w:val="0"/>
              <w:adjustRightInd w:val="0"/>
              <w:spacing w:line="560" w:lineRule="exact"/>
              <w:ind w:firstLine="0"/>
            </w:pPr>
            <w:r>
              <w:rPr>
                <w:rFonts w:hint="eastAsia"/>
              </w:rPr>
              <w:t>开发语言： JAVA、C#；</w:t>
            </w:r>
          </w:p>
          <w:p>
            <w:pPr>
              <w:pStyle w:val="19"/>
              <w:autoSpaceDN w:val="0"/>
              <w:adjustRightInd w:val="0"/>
              <w:spacing w:line="560" w:lineRule="exact"/>
              <w:ind w:firstLine="0"/>
              <w:rPr>
                <w:rFonts w:ascii="宋体" w:eastAsia="宋体" w:cs="宋体"/>
              </w:rPr>
            </w:pPr>
            <w:r>
              <w:rPr>
                <w:rFonts w:ascii="宋体" w:eastAsia="宋体" w:cs="宋体" w:hint="eastAsia"/>
              </w:rPr>
              <w:t>数据库：</w:t>
            </w:r>
            <w:r>
              <w:rPr>
                <w:rFonts w:hint="eastAsia"/>
              </w:rPr>
              <w:t xml:space="preserve"> GaussDB</w:t>
            </w:r>
            <w:r>
              <w:rPr>
                <w:rFonts w:ascii="宋体" w:eastAsia="宋体" w:cs="宋体" w:hint="eastAsia"/>
              </w:rPr>
              <w:t>、</w:t>
            </w:r>
            <w:r>
              <w:rPr>
                <w:rFonts w:hint="eastAsia"/>
              </w:rPr>
              <w:t>Kingbase</w:t>
            </w:r>
            <w:r>
              <w:rPr>
                <w:rFonts w:ascii="宋体" w:eastAsia="宋体" w:cs="宋体" w:hint="eastAsia"/>
              </w:rPr>
              <w:t>、达梦、</w:t>
            </w:r>
            <w:r>
              <w:rPr>
                <w:rFonts w:hint="eastAsia"/>
              </w:rPr>
              <w:t>GBASE</w:t>
            </w:r>
            <w:r>
              <w:rPr>
                <w:rFonts w:ascii="宋体" w:eastAsia="宋体" w:cs="宋体" w:hint="eastAsia"/>
              </w:rPr>
              <w:t>、</w:t>
            </w:r>
            <w:r>
              <w:rPr>
                <w:rFonts w:hint="eastAsia"/>
              </w:rPr>
              <w:t>Oracle</w:t>
            </w:r>
            <w:r>
              <w:rPr>
                <w:rFonts w:ascii="宋体" w:eastAsia="宋体" w:cs="宋体" w:hint="eastAsia"/>
              </w:rPr>
              <w:t>、</w:t>
            </w:r>
            <w:r>
              <w:rPr>
                <w:rFonts w:hint="eastAsia"/>
              </w:rPr>
              <w:t>MySQL</w:t>
            </w:r>
            <w:r>
              <w:rPr>
                <w:rFonts w:ascii="宋体" w:eastAsia="宋体" w:cs="宋体" w:hint="eastAsia"/>
              </w:rPr>
              <w:t>、</w:t>
            </w:r>
            <w:r>
              <w:rPr>
                <w:rFonts w:hint="eastAsia"/>
              </w:rPr>
              <w:t>SQLServer</w:t>
            </w:r>
            <w:r>
              <w:rPr>
                <w:rFonts w:ascii="宋体" w:eastAsia="宋体" w:cs="宋体" w:hint="eastAsia"/>
              </w:rPr>
              <w:t>。</w:t>
            </w:r>
          </w:p>
        </w:tc>
        <w:tc>
          <w:tcPr>
            <w:tcW w:w="1716" w:type="dxa"/>
            <w:tcBorders>
              <w:tl2br w:val="nil"/>
              <w:tr2bl w:val="nil"/>
            </w:tcBorders>
            <w:vAlign w:val="center"/>
          </w:tcPr>
          <w:p>
            <w:pPr>
              <w:pStyle w:val="200"/>
              <w:spacing w:line="240" w:lineRule="auto"/>
              <w:ind w:firstLine="0"/>
              <w:rPr>
                <w:rFonts w:ascii="宋体" w:eastAsia="宋体"/>
                <w:lang w:bidi="en-US"/>
              </w:rPr>
            </w:pPr>
            <w:r>
              <w:rPr>
                <w:rFonts w:ascii="宋体" w:eastAsia="宋体" w:hint="eastAsia"/>
              </w:rPr>
              <w:t>否</w:t>
            </w:r>
          </w:p>
        </w:tc>
      </w:tr>
      <w:tr>
        <w:tblPrEx>
          <w:tblW w:w="8522" w:type="dxa"/>
          <w:jc w:val="left"/>
          <w:tblLayout w:type="fixed"/>
          <w:tblCellMar>
            <w:top w:w="0" w:type="dxa"/>
            <w:left w:w="108" w:type="dxa"/>
            <w:bottom w:w="0" w:type="dxa"/>
            <w:right w:w="108" w:type="dxa"/>
          </w:tblCellMar>
        </w:tblPrEx>
        <w:trPr>
          <w:trHeight w:val="1601"/>
          <w:jc w:val="left"/>
        </w:trPr>
        <w:tc>
          <w:tcPr>
            <w:tcW w:w="625" w:type="dxa"/>
            <w:tcBorders>
              <w:tl2br w:val="nil"/>
              <w:tr2bl w:val="nil"/>
            </w:tcBorders>
            <w:vAlign w:val="center"/>
          </w:tcPr>
          <w:p>
            <w:pPr>
              <w:pStyle w:val="19"/>
              <w:ind w:firstLine="0"/>
              <w:jc w:val="center"/>
              <w:rPr>
                <w:rFonts w:ascii="宋体" w:eastAsia="宋体"/>
              </w:rPr>
            </w:pPr>
            <w:r>
              <w:rPr>
                <w:rFonts w:ascii="宋体" w:eastAsia="宋体" w:hint="eastAsia"/>
                <w:b/>
              </w:rPr>
              <w:t>3</w:t>
            </w:r>
          </w:p>
        </w:tc>
        <w:tc>
          <w:tcPr>
            <w:tcW w:w="1984" w:type="dxa"/>
            <w:tcBorders>
              <w:tl2br w:val="nil"/>
              <w:tr2bl w:val="nil"/>
            </w:tcBorders>
            <w:vAlign w:val="center"/>
          </w:tcPr>
          <w:p>
            <w:pPr>
              <w:pStyle w:val="19"/>
              <w:ind w:firstLine="0"/>
              <w:rPr>
                <w:rFonts w:ascii="宋体" w:eastAsia="宋体"/>
                <w:b/>
              </w:rPr>
            </w:pPr>
            <w:r>
              <w:rPr>
                <w:rFonts w:ascii="宋体" w:eastAsia="宋体" w:hint="eastAsia"/>
                <w:b/>
              </w:rPr>
              <w:t>系统需求</w:t>
            </w:r>
          </w:p>
        </w:tc>
        <w:tc>
          <w:tcPr>
            <w:tcW w:w="4197" w:type="dxa"/>
            <w:tcBorders>
              <w:tl2br w:val="nil"/>
              <w:tr2bl w:val="nil"/>
            </w:tcBorders>
            <w:vAlign w:val="center"/>
          </w:tcPr>
          <w:p>
            <w:pPr>
              <w:pStyle w:val="200"/>
              <w:ind w:firstLine="0"/>
              <w:rPr>
                <w:rFonts w:ascii="宋体" w:eastAsia="宋体"/>
                <w:lang w:bidi="en-US"/>
              </w:rPr>
            </w:pPr>
            <w:r>
              <w:rPr>
                <w:rFonts w:ascii="宋体" w:eastAsia="宋体" w:hint="eastAsia"/>
                <w:lang w:bidi="en-US"/>
              </w:rPr>
              <w:t>无</w:t>
            </w:r>
          </w:p>
        </w:tc>
        <w:tc>
          <w:tcPr>
            <w:tcW w:w="1716" w:type="dxa"/>
            <w:tcBorders>
              <w:tl2br w:val="nil"/>
              <w:tr2bl w:val="nil"/>
            </w:tcBorders>
            <w:vAlign w:val="center"/>
          </w:tcPr>
          <w:p>
            <w:pPr>
              <w:pStyle w:val="200"/>
              <w:ind w:firstLine="0"/>
              <w:rPr>
                <w:rFonts w:ascii="宋体" w:eastAsia="宋体"/>
                <w:lang w:bidi="en-US"/>
              </w:rPr>
            </w:pPr>
            <w:r>
              <w:rPr>
                <w:rFonts w:ascii="宋体" w:eastAsia="宋体" w:hint="eastAsia"/>
              </w:rPr>
              <w:t>否</w:t>
            </w:r>
          </w:p>
        </w:tc>
      </w:tr>
    </w:tbl>
    <w:p>
      <w:pPr>
        <w:pStyle w:val="19"/>
        <w:rPr>
          <w:rFonts w:ascii="宋体" w:eastAsia="宋体"/>
        </w:rPr>
      </w:pPr>
    </w:p>
    <w:p>
      <w:pPr>
        <w:pStyle w:val="22"/>
        <w:numPr>
          <w:ilvl w:val="0"/>
          <w:numId w:val="2"/>
        </w:numPr>
        <w:outlineLvl w:val="1"/>
        <w:rPr>
          <w:rFonts w:ascii="宋体" w:eastAsia="宋体" w:hint="eastAsia"/>
        </w:rPr>
      </w:pPr>
      <w:r>
        <w:rPr>
          <w:rFonts w:ascii="宋体" w:eastAsia="宋体" w:hint="eastAsia"/>
        </w:rPr>
        <w:t>货物或服务指标要求</w:t>
      </w:r>
    </w:p>
    <w:p>
      <w:pPr>
        <w:pStyle w:val="19"/>
        <w:rPr>
          <w:rFonts w:ascii="宋体" w:eastAsia="宋体"/>
        </w:rPr>
      </w:pPr>
      <w:r>
        <w:rPr>
          <w:rFonts w:ascii="宋体" w:eastAsia="宋体" w:hint="eastAsia"/>
        </w:rPr>
        <w:t>参数指标要求</w:t>
      </w:r>
    </w:p>
    <w:p>
      <w:pPr>
        <w:pStyle w:val="19"/>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pStyle w:val="19"/>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573" w:type="dxa"/>
        <w:jc w:val="left"/>
        <w:tblInd w:w="5" w:type="dxa"/>
        <w:tblBorders>
          <w:top w:val="single" w:sz="4" w:space="0" w:color="000000"/>
          <w:left w:val="single" w:sz="4" w:space="0" w:color="000000"/>
          <w:bottom w:val="single" w:sz="4" w:space="0" w:color="000000"/>
          <w:right w:val="single" w:sz="4" w:space="0" w:color="000000"/>
        </w:tblBorders>
        <w:tblLayout w:type="fixed"/>
        <w:tblCellMar>
          <w:top w:w="0" w:type="dxa"/>
          <w:left w:w="0" w:type="dxa"/>
          <w:bottom w:w="0" w:type="dxa"/>
          <w:right w:w="0" w:type="dxa"/>
        </w:tblCellMar>
      </w:tblPr>
      <w:tblGrid>
        <w:gridCol w:w="573"/>
        <w:gridCol w:w="1049"/>
        <w:gridCol w:w="1049"/>
        <w:gridCol w:w="5043"/>
        <w:gridCol w:w="859"/>
      </w:tblGrid>
      <w:tr>
        <w:tblPrEx>
          <w:tblW w:w="8573" w:type="dxa"/>
          <w:jc w:val="left"/>
          <w:tblInd w:w="5" w:type="dxa"/>
          <w:tblBorders>
            <w:top w:val="single" w:sz="4" w:space="0" w:color="000000"/>
            <w:left w:val="single" w:sz="4" w:space="0" w:color="000000"/>
            <w:bottom w:val="single" w:sz="4" w:space="0" w:color="000000"/>
            <w:right w:val="single" w:sz="4" w:space="0" w:color="000000"/>
          </w:tblBorders>
          <w:tblLayout w:type="fixed"/>
          <w:tblCellMar>
            <w:top w:w="0" w:type="dxa"/>
            <w:left w:w="0" w:type="dxa"/>
            <w:bottom w:w="0" w:type="dxa"/>
            <w:right w:w="0" w:type="dxa"/>
          </w:tblCellMar>
        </w:tblPrEx>
        <w:trPr>
          <w:trHeight w:val="943"/>
          <w:jc w:val="left"/>
        </w:trPr>
        <w:tc>
          <w:tcPr>
            <w:tcW w:w="573" w:type="dxa"/>
            <w:tcBorders>
              <w:top w:val="single" w:sz="4" w:space="0" w:color="000000"/>
              <w:left w:val="single" w:sz="4" w:space="0" w:color="000000"/>
              <w:bottom w:val="single" w:sz="4" w:space="0" w:color="000000"/>
              <w:right w:val="single" w:sz="4" w:space="0" w:color="000000"/>
              <w:tl2br w:val="nil"/>
              <w:tr2bl w:val="nil"/>
            </w:tcBorders>
            <w:shd w:val="clear" w:color="auto" w:fill="D9D9D9"/>
          </w:tcPr>
          <w:p>
            <w:pPr>
              <w:pStyle w:val="200"/>
              <w:spacing w:line="240" w:lineRule="auto"/>
              <w:ind w:firstLine="0"/>
              <w:jc w:val="center"/>
              <w:rPr>
                <w:rFonts w:ascii="宋体" w:eastAsia="宋体"/>
                <w:b/>
              </w:rPr>
            </w:pPr>
            <w:r>
              <w:rPr>
                <w:rFonts w:ascii="宋体" w:eastAsia="宋体" w:hint="eastAsia"/>
                <w:b/>
              </w:rPr>
              <w:t>序号</w:t>
            </w:r>
          </w:p>
        </w:tc>
        <w:tc>
          <w:tcPr>
            <w:tcW w:w="1049" w:type="dxa"/>
            <w:tcBorders>
              <w:top w:val="single" w:sz="4" w:space="0" w:color="000000"/>
              <w:left w:val="single" w:sz="4" w:space="0" w:color="000000"/>
              <w:bottom w:val="single" w:sz="4" w:space="0" w:color="000000"/>
              <w:right w:val="single" w:sz="4" w:space="0" w:color="000000"/>
              <w:tl2br w:val="nil"/>
              <w:tr2bl w:val="nil"/>
            </w:tcBorders>
            <w:shd w:val="clear" w:color="auto" w:fill="D9D9D9"/>
          </w:tcPr>
          <w:p>
            <w:pPr>
              <w:pStyle w:val="200"/>
              <w:spacing w:line="240" w:lineRule="auto"/>
              <w:ind w:firstLine="0"/>
              <w:jc w:val="center"/>
              <w:rPr>
                <w:rFonts w:ascii="宋体" w:eastAsia="宋体"/>
                <w:b/>
              </w:rPr>
            </w:pPr>
            <w:r>
              <w:rPr>
                <w:rFonts w:ascii="宋体" w:eastAsia="宋体" w:hint="eastAsia"/>
                <w:b/>
              </w:rPr>
              <w:t>重要性</w:t>
            </w:r>
          </w:p>
        </w:tc>
        <w:tc>
          <w:tcPr>
            <w:tcW w:w="1049" w:type="dxa"/>
            <w:tcBorders>
              <w:top w:val="single" w:sz="4" w:space="0" w:color="000000"/>
              <w:left w:val="single" w:sz="4" w:space="0" w:color="000000"/>
              <w:bottom w:val="single" w:sz="4" w:space="0" w:color="000000"/>
              <w:right w:val="single" w:sz="4" w:space="0" w:color="000000"/>
              <w:tl2br w:val="nil"/>
              <w:tr2bl w:val="nil"/>
            </w:tcBorders>
            <w:shd w:val="clear" w:color="auto" w:fill="D9D9D9"/>
          </w:tcPr>
          <w:p>
            <w:pPr>
              <w:pStyle w:val="200"/>
              <w:spacing w:line="240" w:lineRule="auto"/>
              <w:ind w:firstLine="0"/>
              <w:jc w:val="center"/>
              <w:rPr>
                <w:rFonts w:ascii="宋体" w:eastAsia="宋体"/>
                <w:b/>
              </w:rPr>
            </w:pPr>
            <w:r>
              <w:rPr>
                <w:rFonts w:ascii="宋体" w:eastAsia="宋体" w:hint="eastAsia"/>
                <w:b/>
              </w:rPr>
              <w:t>指标项</w:t>
            </w:r>
          </w:p>
        </w:tc>
        <w:tc>
          <w:tcPr>
            <w:tcW w:w="5043" w:type="dxa"/>
            <w:tcBorders>
              <w:top w:val="single" w:sz="4" w:space="0" w:color="000000"/>
              <w:left w:val="single" w:sz="4" w:space="0" w:color="000000"/>
              <w:bottom w:val="single" w:sz="4" w:space="0" w:color="000000"/>
              <w:right w:val="single" w:sz="4" w:space="0" w:color="000000"/>
              <w:tl2br w:val="nil"/>
              <w:tr2bl w:val="nil"/>
            </w:tcBorders>
            <w:shd w:val="clear" w:color="auto" w:fill="D9D9D9"/>
          </w:tcPr>
          <w:p>
            <w:pPr>
              <w:pStyle w:val="200"/>
              <w:spacing w:line="240" w:lineRule="auto"/>
              <w:ind w:firstLine="0"/>
              <w:jc w:val="center"/>
              <w:rPr>
                <w:rFonts w:ascii="宋体" w:eastAsia="宋体"/>
                <w:b/>
              </w:rPr>
            </w:pPr>
            <w:r>
              <w:rPr>
                <w:rFonts w:ascii="宋体" w:eastAsia="宋体" w:hint="eastAsia"/>
                <w:b/>
              </w:rPr>
              <w:t>指标要求</w:t>
            </w:r>
          </w:p>
        </w:tc>
        <w:tc>
          <w:tcPr>
            <w:tcW w:w="859" w:type="dxa"/>
            <w:tcBorders>
              <w:top w:val="single" w:sz="4" w:space="0" w:color="000000"/>
              <w:left w:val="single" w:sz="4" w:space="0" w:color="000000"/>
              <w:bottom w:val="single" w:sz="4" w:space="0" w:color="000000"/>
              <w:right w:val="single" w:sz="4" w:space="0" w:color="000000"/>
              <w:tl2br w:val="nil"/>
              <w:tr2bl w:val="nil"/>
            </w:tcBorders>
            <w:shd w:val="clear" w:color="auto" w:fill="D9D9D9"/>
          </w:tcPr>
          <w:p>
            <w:pPr>
              <w:pStyle w:val="200"/>
              <w:spacing w:line="240" w:lineRule="auto"/>
              <w:ind w:firstLine="0"/>
              <w:jc w:val="center"/>
              <w:rPr>
                <w:rFonts w:ascii="宋体" w:eastAsia="宋体"/>
                <w:b/>
              </w:rPr>
            </w:pPr>
            <w:r>
              <w:rPr>
                <w:rFonts w:ascii="宋体" w:eastAsia="宋体" w:hint="eastAsia"/>
                <w:b/>
              </w:rPr>
              <w:t>证明材料要求</w:t>
            </w:r>
          </w:p>
        </w:tc>
      </w:tr>
      <w:tr>
        <w:tblPrEx>
          <w:tblW w:w="8573" w:type="dxa"/>
          <w:jc w:val="left"/>
          <w:tblInd w:w="5" w:type="dxa"/>
          <w:tblLayout w:type="fixed"/>
          <w:tblCellMar>
            <w:top w:w="0" w:type="dxa"/>
            <w:left w:w="0" w:type="dxa"/>
            <w:bottom w:w="0" w:type="dxa"/>
            <w:right w:w="0" w:type="dxa"/>
          </w:tblCellMar>
        </w:tblPrEx>
        <w:trPr>
          <w:trHeight w:val="1168"/>
          <w:jc w:val="left"/>
        </w:trPr>
        <w:tc>
          <w:tcPr>
            <w:tcW w:w="573" w:type="dxa"/>
            <w:tcBorders>
              <w:top w:val="single" w:sz="4" w:space="0" w:color="000000"/>
              <w:left w:val="single" w:sz="4" w:space="0" w:color="000000"/>
              <w:bottom w:val="single" w:sz="4" w:space="0" w:color="000000"/>
              <w:right w:val="single" w:sz="4" w:space="0" w:color="000000"/>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w:t>
            </w:r>
          </w:p>
        </w:tc>
        <w:tc>
          <w:tcPr>
            <w:tcW w:w="104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rPr>
                <w:spacing w:val="-3"/>
              </w:rPr>
            </w:pPr>
          </w:p>
        </w:tc>
        <w:tc>
          <w:tcPr>
            <w:tcW w:w="1049" w:type="dxa"/>
            <w:vMerge w:val="restart"/>
            <w:tcBorders>
              <w:top w:val="single" w:sz="4" w:space="0" w:color="000000"/>
              <w:left w:val="single" w:sz="4" w:space="0" w:color="000000"/>
              <w:bottom w:val="single" w:sz="4" w:space="0" w:color="000000"/>
              <w:right w:val="single" w:sz="4" w:space="0" w:color="000000"/>
              <w:tl2br w:val="nil"/>
              <w:tr2bl w:val="nil"/>
            </w:tcBorders>
            <w:shd w:val="clear" w:color="auto" w:fill="auto"/>
            <w:vAlign w:val="center"/>
          </w:tcPr>
          <w:p>
            <w:pPr>
              <w:pStyle w:val="19"/>
              <w:spacing w:line="240" w:lineRule="auto"/>
              <w:ind w:firstLine="0"/>
              <w:jc w:val="center"/>
              <w:rPr>
                <w:spacing w:val="-3"/>
              </w:rPr>
            </w:pPr>
            <w:r>
              <w:rPr>
                <w:rFonts w:hint="eastAsia"/>
                <w:spacing w:val="-3"/>
              </w:rPr>
              <w:t>数据交换技术支持服务</w:t>
            </w:r>
          </w:p>
        </w:tc>
        <w:tc>
          <w:tcPr>
            <w:tcW w:w="5043"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tabs>
                <w:tab w:val="left" w:pos="312"/>
              </w:tabs>
              <w:spacing w:line="240" w:lineRule="auto"/>
              <w:ind w:firstLine="0"/>
              <w:jc w:val="left"/>
              <w:rPr>
                <w:rFonts w:ascii="宋体" w:hAnsi="宋体" w:cs="宋体"/>
                <w:spacing w:val="-2"/>
              </w:rPr>
            </w:pPr>
            <w:r>
              <w:rPr>
                <w:rFonts w:hint="eastAsia"/>
                <w:spacing w:val="-2"/>
              </w:rPr>
              <w:t>根据业务需求，做好电子口岸专网食品安全子系统(深圳海关)供港蔬菜应用、食品安全子系统(深圳海关)供港水果应用、食品安全子系统(深圳海关)进口食品追溯与风险预警应用、动植物检疫业务管理子系统(深圳海关)出口木质包装应用、检疫处理业务子系统(深圳海关)检疫处理业务应用、技术性贸易措施(技术规范)管理子系统(深圳海关)进口食品技术贸易措施研究中心网站相关IBMMQ模式的技术支持服务工作。具体包括：</w:t>
            </w:r>
          </w:p>
          <w:p>
            <w:pPr>
              <w:pStyle w:val="19"/>
              <w:tabs>
                <w:tab w:val="left" w:pos="312"/>
              </w:tabs>
              <w:spacing w:line="240" w:lineRule="auto"/>
              <w:ind w:firstLine="0"/>
              <w:jc w:val="left"/>
              <w:rPr>
                <w:spacing w:val="-2"/>
              </w:rPr>
            </w:pPr>
            <w:r>
              <w:rPr>
                <w:rFonts w:hint="eastAsia"/>
                <w:spacing w:val="-2"/>
              </w:rPr>
              <w:t>1. 系统应用检查和维护</w:t>
            </w:r>
          </w:p>
          <w:p>
            <w:pPr>
              <w:pStyle w:val="19"/>
              <w:tabs>
                <w:tab w:val="left" w:pos="312"/>
              </w:tabs>
              <w:spacing w:line="240" w:lineRule="auto"/>
              <w:ind w:firstLine="0"/>
              <w:jc w:val="left"/>
              <w:rPr>
                <w:spacing w:val="-2"/>
              </w:rPr>
            </w:pPr>
            <w:r>
              <w:rPr>
                <w:rFonts w:hint="eastAsia"/>
              </w:rPr>
              <w:t>一年提供12次以上IBMMQ服务的全面检查。检查内容包括IBMMQ服务的故障复盘，梳理历史安全事件并提供安全配置建议，完善IBMMQ的日常技术支持知识库，根据管理要求协助制定检查计划、执行并编制检查报告。</w:t>
            </w:r>
          </w:p>
          <w:p>
            <w:pPr>
              <w:pStyle w:val="19"/>
              <w:tabs>
                <w:tab w:val="left" w:pos="312"/>
              </w:tabs>
              <w:spacing w:line="240" w:lineRule="auto"/>
              <w:ind w:firstLine="0"/>
              <w:jc w:val="left"/>
              <w:rPr>
                <w:spacing w:val="-2"/>
              </w:rPr>
            </w:pPr>
            <w:r>
              <w:rPr>
                <w:rFonts w:hint="eastAsia"/>
                <w:spacing w:val="-2"/>
              </w:rPr>
              <w:t>2. 性能评估和优化</w:t>
            </w:r>
          </w:p>
          <w:p>
            <w:pPr>
              <w:pStyle w:val="19"/>
              <w:tabs>
                <w:tab w:val="left" w:pos="312"/>
              </w:tabs>
              <w:spacing w:line="240" w:lineRule="auto"/>
              <w:ind w:firstLine="0"/>
              <w:jc w:val="left"/>
              <w:rPr>
                <w:spacing w:val="-2"/>
              </w:rPr>
            </w:pPr>
            <w:r>
              <w:rPr>
                <w:rFonts w:hint="eastAsia"/>
              </w:rPr>
              <w:t>一年提供12次以上</w:t>
            </w:r>
            <w:r>
              <w:rPr>
                <w:rFonts w:hint="eastAsia"/>
                <w:spacing w:val="-2"/>
              </w:rPr>
              <w:t>IBMMQ服务性能的监控和评估。根据评估结果，实施优化措施，如调整配置参数、增加资源分配、优化代码和查询等，以提高数据处理速度和优化系统响应时间。</w:t>
            </w:r>
          </w:p>
          <w:p>
            <w:pPr>
              <w:pStyle w:val="19"/>
              <w:tabs>
                <w:tab w:val="left" w:pos="312"/>
              </w:tabs>
              <w:spacing w:line="240" w:lineRule="auto"/>
              <w:ind w:firstLine="0"/>
              <w:jc w:val="left"/>
              <w:rPr>
                <w:spacing w:val="-2"/>
              </w:rPr>
            </w:pPr>
            <w:r>
              <w:rPr>
                <w:rFonts w:hint="eastAsia"/>
                <w:spacing w:val="-2"/>
              </w:rPr>
              <w:t>3. 系统升级和补丁管理</w:t>
            </w:r>
          </w:p>
          <w:p>
            <w:pPr>
              <w:pStyle w:val="19"/>
              <w:tabs>
                <w:tab w:val="left" w:pos="312"/>
              </w:tabs>
              <w:spacing w:line="240" w:lineRule="auto"/>
              <w:ind w:firstLine="0"/>
              <w:jc w:val="left"/>
              <w:rPr>
                <w:spacing w:val="-2"/>
              </w:rPr>
            </w:pPr>
            <w:r>
              <w:rPr>
                <w:rFonts w:hint="eastAsia"/>
                <w:spacing w:val="-2"/>
              </w:rPr>
              <w:t>及时完成应用安全补丁和功能更新，以确保系统的安全性和兼容性，同时测试补丁以确保它们不会影响现有系统功能。</w:t>
            </w:r>
          </w:p>
        </w:tc>
        <w:tc>
          <w:tcPr>
            <w:tcW w:w="859"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1168"/>
          <w:jc w:val="left"/>
        </w:trPr>
        <w:tc>
          <w:tcPr>
            <w:tcW w:w="573" w:type="dxa"/>
            <w:tcBorders>
              <w:top w:val="single" w:sz="4" w:space="0" w:color="000000"/>
              <w:left w:val="single" w:sz="4" w:space="0" w:color="000000"/>
              <w:bottom w:val="single" w:sz="4" w:space="0" w:color="000000"/>
              <w:right w:val="single" w:sz="4" w:space="0" w:color="000000"/>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w:t>
            </w:r>
          </w:p>
        </w:tc>
        <w:tc>
          <w:tcPr>
            <w:tcW w:w="1049" w:type="dxa"/>
            <w:tcBorders>
              <w:top w:val="single" w:sz="4" w:space="0" w:color="000000"/>
              <w:left w:val="single" w:sz="4" w:space="0" w:color="000000"/>
              <w:bottom w:val="single" w:sz="4" w:space="0" w:color="000000"/>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000000"/>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tabs>
                <w:tab w:val="left" w:pos="312"/>
              </w:tabs>
              <w:spacing w:line="240" w:lineRule="auto"/>
              <w:ind w:firstLine="0"/>
              <w:jc w:val="left"/>
              <w:rPr>
                <w:rFonts w:ascii="宋体" w:hAnsi="宋体" w:cs="宋体"/>
              </w:rPr>
            </w:pPr>
            <w:r>
              <w:rPr>
                <w:rFonts w:hint="eastAsia"/>
              </w:rPr>
              <w:t>根据业务需求，以JAVA技术优化升级API接口程序，接口标准采用RESTful API，支持食品安全子系统(深圳海关)供港蔬菜应用、食品安全子系统(深圳海关)供港水果应用、食品安全子系统(深圳海关)进口食品追溯与风险预警应用、检疫处理业务子系统(深圳海关)检疫处理业务应用、技术性贸易措施(技术规范)管理子系统(深圳海关)进口食品技术贸易措施研究中心网站的数据采集和数据发送，动植物检疫业务管理子系统(深圳海关)出口木质包装应用的温湿度数据采集和转发等功能,以对接分发数据至系统预定库。具体包括：</w:t>
            </w:r>
          </w:p>
          <w:p>
            <w:pPr>
              <w:pStyle w:val="19"/>
              <w:tabs>
                <w:tab w:val="left" w:pos="312"/>
              </w:tabs>
              <w:spacing w:line="240" w:lineRule="auto"/>
              <w:ind w:firstLine="0"/>
              <w:jc w:val="left"/>
            </w:pPr>
            <w:r>
              <w:rPr>
                <w:rFonts w:hint="eastAsia"/>
              </w:rPr>
              <w:t>1.数据传输和处理：</w:t>
            </w:r>
            <w:r>
              <w:t>一</w:t>
            </w:r>
            <w:r>
              <w:rPr>
                <w:rFonts w:hint="eastAsia"/>
              </w:rPr>
              <w:t>年提供12次以上数据传输的准确性和完整性的验证，对数据传输的速率、错误率、数据丢失情况以及数据一致性等关键指标进行测评。制定验证计划并编制报告，确保API接口能够将企业申报数据准确地对接分发至系统预定库，实现数据的无缝对接。</w:t>
            </w:r>
          </w:p>
          <w:p>
            <w:pPr>
              <w:pStyle w:val="19"/>
              <w:tabs>
                <w:tab w:val="left" w:pos="312"/>
              </w:tabs>
              <w:spacing w:line="240" w:lineRule="auto"/>
              <w:ind w:firstLine="0"/>
              <w:jc w:val="left"/>
            </w:pPr>
            <w:r>
              <w:rPr>
                <w:rFonts w:hint="eastAsia"/>
              </w:rPr>
              <w:t>2.保障接口稳定性和安全性：确保API接口的稳定性和互操作性，实施身份验证和授权机制，保护数据传输的安全，防止未授权访问。</w:t>
            </w:r>
          </w:p>
          <w:p>
            <w:pPr>
              <w:pStyle w:val="19"/>
              <w:tabs>
                <w:tab w:val="left" w:pos="312"/>
              </w:tabs>
              <w:spacing w:line="240" w:lineRule="auto"/>
              <w:ind w:firstLine="0"/>
              <w:jc w:val="left"/>
            </w:pPr>
            <w:r>
              <w:rPr>
                <w:rFonts w:hint="eastAsia"/>
              </w:rPr>
              <w:t>3.更新接口文档和使用说明：优化API接口文档，包括请求方法、参数、示例请求和响应。根据接口的变更和用户反馈，一年至少更新4次接口文档和使用说明，确保信息的时效性和准确性。</w:t>
            </w:r>
          </w:p>
          <w:p>
            <w:pPr>
              <w:pStyle w:val="19"/>
              <w:tabs>
                <w:tab w:val="left" w:pos="312"/>
              </w:tabs>
              <w:spacing w:line="240" w:lineRule="auto"/>
              <w:ind w:firstLine="0"/>
              <w:jc w:val="left"/>
              <w:rPr>
                <w:spacing w:val="-2"/>
              </w:rPr>
            </w:pPr>
            <w:r>
              <w:rPr>
                <w:rFonts w:hint="eastAsia"/>
              </w:rPr>
              <w:t>4.接口改进：</w:t>
            </w:r>
            <w:r>
              <w:t>一</w:t>
            </w:r>
            <w:r>
              <w:rPr>
                <w:rFonts w:hint="eastAsia"/>
              </w:rPr>
              <w:t>年提供4次以上API接口性能评估，根据评估结果进行必要的优化和调整，以确保接口的持续稳定运行。</w:t>
            </w:r>
          </w:p>
        </w:tc>
        <w:tc>
          <w:tcPr>
            <w:tcW w:w="859"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spacing w:line="240" w:lineRule="auto"/>
              <w:ind w:firstLine="0"/>
              <w:jc w:val="center"/>
            </w:pPr>
            <w:r>
              <w:t xml:space="preserve">否 </w:t>
            </w:r>
          </w:p>
        </w:tc>
      </w:tr>
      <w:tr>
        <w:tblPrEx>
          <w:tblW w:w="8573" w:type="dxa"/>
          <w:jc w:val="left"/>
          <w:tblInd w:w="5" w:type="dxa"/>
          <w:tblLayout w:type="fixed"/>
          <w:tblCellMar>
            <w:top w:w="0" w:type="dxa"/>
            <w:left w:w="0" w:type="dxa"/>
            <w:bottom w:w="0" w:type="dxa"/>
            <w:right w:w="0" w:type="dxa"/>
          </w:tblCellMar>
        </w:tblPrEx>
        <w:trPr>
          <w:trHeight w:val="1168"/>
          <w:jc w:val="left"/>
        </w:trPr>
        <w:tc>
          <w:tcPr>
            <w:tcW w:w="573" w:type="dxa"/>
            <w:tcBorders>
              <w:top w:val="single" w:sz="4" w:space="0" w:color="000000"/>
              <w:left w:val="single" w:sz="4" w:space="0" w:color="000000"/>
              <w:bottom w:val="single" w:sz="4" w:space="0" w:color="000000"/>
              <w:right w:val="single" w:sz="4" w:space="0" w:color="000000"/>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w:t>
            </w:r>
          </w:p>
        </w:tc>
        <w:tc>
          <w:tcPr>
            <w:tcW w:w="1049" w:type="dxa"/>
            <w:tcBorders>
              <w:top w:val="single" w:sz="4" w:space="0" w:color="000000"/>
              <w:left w:val="single" w:sz="4" w:space="0" w:color="000000"/>
              <w:bottom w:val="single" w:sz="4" w:space="0" w:color="000000"/>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000000"/>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tabs>
                <w:tab w:val="left" w:pos="312"/>
              </w:tabs>
              <w:spacing w:line="240" w:lineRule="auto"/>
              <w:ind w:firstLine="0"/>
              <w:jc w:val="left"/>
              <w:rPr>
                <w:rFonts w:ascii="宋体" w:hAnsi="宋体" w:cs="宋体"/>
                <w:spacing w:val="-2"/>
              </w:rPr>
            </w:pPr>
            <w:r>
              <w:rPr>
                <w:rFonts w:hint="eastAsia"/>
                <w:spacing w:val="-2"/>
              </w:rPr>
              <w:t>根据业务需求，采用数据交换监控程序，监测电子口岸专网食品安全子系统(深圳海关)供港蔬菜应用、食品安全子系统(深圳海关)供港水果应用、食品安全子系统(深圳海关)进口食品追溯与风险预警应用、动植物检疫业务管理子系统(深圳海关)出口木质包装应用、检疫处理业务子系统(深圳海关)检疫处理业务应用、技术性贸易措施(技术规范)管理子系统(深圳海关)进口食品技术贸易措施研究中心网站的交换报文量及异常信息,</w:t>
            </w:r>
            <w:r>
              <w:rPr>
                <w:rFonts w:hint="eastAsia"/>
                <w:spacing w:val="-4"/>
              </w:rPr>
              <w:t xml:space="preserve"> 做好数据交换传输通</w:t>
            </w:r>
            <w:r>
              <w:rPr>
                <w:rFonts w:hint="eastAsia"/>
                <w:spacing w:val="6"/>
              </w:rPr>
              <w:t>道维护保障工作</w:t>
            </w:r>
            <w:r>
              <w:rPr>
                <w:rFonts w:hint="eastAsia"/>
                <w:spacing w:val="-2"/>
              </w:rPr>
              <w:t>。具体包括：</w:t>
            </w:r>
          </w:p>
          <w:p>
            <w:pPr>
              <w:pStyle w:val="19"/>
              <w:tabs>
                <w:tab w:val="left" w:pos="312"/>
              </w:tabs>
              <w:spacing w:line="240" w:lineRule="auto"/>
              <w:ind w:firstLine="0"/>
              <w:jc w:val="left"/>
              <w:rPr>
                <w:spacing w:val="-2"/>
              </w:rPr>
            </w:pPr>
            <w:r>
              <w:rPr>
                <w:rFonts w:hint="eastAsia"/>
                <w:spacing w:val="-2"/>
              </w:rPr>
              <w:t>1.数据交换统计数据输出</w:t>
            </w:r>
          </w:p>
          <w:p>
            <w:pPr>
              <w:pStyle w:val="19"/>
              <w:tabs>
                <w:tab w:val="left" w:pos="312"/>
              </w:tabs>
              <w:spacing w:line="240" w:lineRule="auto"/>
              <w:ind w:firstLine="0"/>
              <w:jc w:val="left"/>
              <w:rPr>
                <w:spacing w:val="-2"/>
              </w:rPr>
            </w:pPr>
            <w:r>
              <w:rPr>
                <w:rFonts w:hint="eastAsia"/>
                <w:spacing w:val="-2"/>
              </w:rPr>
              <w:t>报告生成：自动化生成统计报告，包括报文量、成功率、失败率等关键指标，提供清晰的数据视图和趋势分析，辅助评估调整。</w:t>
            </w:r>
          </w:p>
          <w:p>
            <w:pPr>
              <w:pStyle w:val="19"/>
              <w:tabs>
                <w:tab w:val="left" w:pos="312"/>
              </w:tabs>
              <w:spacing w:line="240" w:lineRule="auto"/>
              <w:ind w:firstLine="0"/>
              <w:jc w:val="left"/>
              <w:rPr>
                <w:spacing w:val="-2"/>
              </w:rPr>
            </w:pPr>
            <w:r>
              <w:rPr>
                <w:rFonts w:hint="eastAsia"/>
                <w:spacing w:val="-2"/>
              </w:rPr>
              <w:t>数据准确性：确保统计数据的准确性和完整性，以便进行有效的系统监控和决策支持。</w:t>
            </w:r>
          </w:p>
          <w:p>
            <w:pPr>
              <w:pStyle w:val="19"/>
              <w:tabs>
                <w:tab w:val="left" w:pos="312"/>
              </w:tabs>
              <w:spacing w:line="240" w:lineRule="auto"/>
              <w:ind w:firstLine="0"/>
              <w:jc w:val="left"/>
              <w:rPr>
                <w:spacing w:val="-2"/>
              </w:rPr>
            </w:pPr>
            <w:r>
              <w:rPr>
                <w:rFonts w:hint="eastAsia"/>
                <w:spacing w:val="-2"/>
              </w:rPr>
              <w:t>2.异常检测与报警措施</w:t>
            </w:r>
          </w:p>
          <w:p>
            <w:pPr>
              <w:pStyle w:val="19"/>
              <w:tabs>
                <w:tab w:val="left" w:pos="312"/>
              </w:tabs>
              <w:spacing w:line="240" w:lineRule="auto"/>
              <w:ind w:firstLine="0"/>
              <w:jc w:val="left"/>
              <w:rPr>
                <w:spacing w:val="-2"/>
              </w:rPr>
            </w:pPr>
            <w:r>
              <w:rPr>
                <w:rFonts w:hint="eastAsia"/>
                <w:spacing w:val="-2"/>
              </w:rPr>
              <w:t>实时监控：实施实时监控机制，持续跟踪数据交换流程，确保及时发现异常情况。</w:t>
            </w:r>
          </w:p>
          <w:p>
            <w:pPr>
              <w:pStyle w:val="19"/>
              <w:tabs>
                <w:tab w:val="left" w:pos="312"/>
              </w:tabs>
              <w:spacing w:line="240" w:lineRule="auto"/>
              <w:ind w:firstLine="0"/>
              <w:jc w:val="left"/>
              <w:rPr>
                <w:spacing w:val="-2"/>
              </w:rPr>
            </w:pPr>
            <w:r>
              <w:rPr>
                <w:rFonts w:hint="eastAsia"/>
                <w:spacing w:val="-2"/>
              </w:rPr>
              <w:t>报警阈值：设定报警阈值，一旦数据交换异常次数超过6次，系统自动触发报警。</w:t>
            </w:r>
          </w:p>
          <w:p>
            <w:pPr>
              <w:pStyle w:val="19"/>
              <w:tabs>
                <w:tab w:val="left" w:pos="312"/>
              </w:tabs>
              <w:spacing w:line="240" w:lineRule="auto"/>
              <w:ind w:firstLine="0"/>
              <w:jc w:val="left"/>
              <w:rPr>
                <w:spacing w:val="-2"/>
              </w:rPr>
            </w:pPr>
            <w:r>
              <w:rPr>
                <w:rFonts w:hint="eastAsia"/>
                <w:spacing w:val="-2"/>
              </w:rPr>
              <w:t>报警记录：记录所有报警事件，包括时间、类型、影响范围和处理结果，用于后续分析和改进。</w:t>
            </w:r>
          </w:p>
          <w:p>
            <w:pPr>
              <w:pStyle w:val="19"/>
              <w:tabs>
                <w:tab w:val="left" w:pos="312"/>
              </w:tabs>
              <w:spacing w:line="240" w:lineRule="auto"/>
              <w:ind w:firstLine="0"/>
              <w:jc w:val="left"/>
              <w:rPr>
                <w:spacing w:val="-2"/>
              </w:rPr>
            </w:pPr>
            <w:r>
              <w:rPr>
                <w:rFonts w:hint="eastAsia"/>
                <w:spacing w:val="-2"/>
              </w:rPr>
              <w:t>3.阈值配置</w:t>
            </w:r>
          </w:p>
          <w:p>
            <w:pPr>
              <w:pStyle w:val="19"/>
              <w:tabs>
                <w:tab w:val="left" w:pos="312"/>
              </w:tabs>
              <w:spacing w:line="240" w:lineRule="auto"/>
              <w:ind w:firstLine="0"/>
              <w:jc w:val="left"/>
              <w:rPr>
                <w:spacing w:val="-2"/>
              </w:rPr>
            </w:pPr>
            <w:r>
              <w:rPr>
                <w:rFonts w:hint="eastAsia"/>
                <w:spacing w:val="-2"/>
              </w:rPr>
              <w:t>自定义阈值：根据业务需求和历史数据自定义报警阈值，以适应不同的业务场景。</w:t>
            </w:r>
          </w:p>
          <w:p>
            <w:pPr>
              <w:pStyle w:val="19"/>
              <w:tabs>
                <w:tab w:val="left" w:pos="312"/>
              </w:tabs>
              <w:spacing w:line="240" w:lineRule="auto"/>
              <w:ind w:firstLine="0"/>
              <w:jc w:val="left"/>
              <w:rPr>
                <w:spacing w:val="-2"/>
              </w:rPr>
            </w:pPr>
            <w:r>
              <w:rPr>
                <w:rFonts w:hint="eastAsia"/>
                <w:spacing w:val="-2"/>
              </w:rPr>
              <w:t>动态调整：支持动态调整阈值，可以根据实时业务量和交换频率的变化灵活调整报警条件。</w:t>
            </w:r>
          </w:p>
          <w:p>
            <w:pPr>
              <w:pStyle w:val="19"/>
              <w:tabs>
                <w:tab w:val="left" w:pos="312"/>
              </w:tabs>
              <w:spacing w:line="240" w:lineRule="auto"/>
              <w:ind w:firstLine="0"/>
              <w:jc w:val="left"/>
              <w:rPr>
                <w:spacing w:val="-2"/>
              </w:rPr>
            </w:pPr>
            <w:r>
              <w:rPr>
                <w:rFonts w:hint="eastAsia"/>
                <w:spacing w:val="-2"/>
              </w:rPr>
              <w:t>4.系统整合与兼容性</w:t>
            </w:r>
          </w:p>
          <w:p>
            <w:pPr>
              <w:pStyle w:val="19"/>
              <w:tabs>
                <w:tab w:val="left" w:pos="312"/>
              </w:tabs>
              <w:spacing w:line="240" w:lineRule="auto"/>
              <w:ind w:firstLine="0"/>
              <w:jc w:val="left"/>
              <w:rPr>
                <w:spacing w:val="-2"/>
              </w:rPr>
            </w:pPr>
            <w:r>
              <w:rPr>
                <w:rFonts w:hint="eastAsia"/>
                <w:spacing w:val="-2"/>
              </w:rPr>
              <w:t>系统整合：确保监控程序与现有系统架构兼容，能够无缝集成到电子口岸专网的各个子系统中。</w:t>
            </w:r>
          </w:p>
          <w:p>
            <w:pPr>
              <w:pStyle w:val="19"/>
              <w:tabs>
                <w:tab w:val="left" w:pos="312"/>
              </w:tabs>
              <w:spacing w:line="240" w:lineRule="auto"/>
              <w:ind w:firstLine="0"/>
              <w:jc w:val="left"/>
              <w:rPr>
                <w:spacing w:val="-2"/>
              </w:rPr>
            </w:pPr>
            <w:r>
              <w:rPr>
                <w:rFonts w:hint="eastAsia"/>
                <w:spacing w:val="-2"/>
              </w:rPr>
              <w:t>数据接口：开发标准化的数据接口，以便监控程序能够从各个子系统收集必要的数据。</w:t>
            </w:r>
          </w:p>
          <w:p>
            <w:pPr>
              <w:pStyle w:val="19"/>
              <w:tabs>
                <w:tab w:val="left" w:pos="312"/>
              </w:tabs>
              <w:spacing w:line="240" w:lineRule="auto"/>
              <w:ind w:firstLine="0"/>
              <w:jc w:val="left"/>
              <w:rPr>
                <w:spacing w:val="-2"/>
              </w:rPr>
            </w:pPr>
            <w:r>
              <w:rPr>
                <w:rFonts w:hint="eastAsia"/>
                <w:spacing w:val="-2"/>
              </w:rPr>
              <w:t>5.性能与优化</w:t>
            </w:r>
          </w:p>
          <w:p>
            <w:pPr>
              <w:pStyle w:val="19"/>
              <w:tabs>
                <w:tab w:val="left" w:pos="312"/>
              </w:tabs>
              <w:spacing w:line="240" w:lineRule="auto"/>
              <w:ind w:firstLine="0"/>
              <w:jc w:val="left"/>
              <w:rPr>
                <w:spacing w:val="-2"/>
              </w:rPr>
            </w:pPr>
            <w:r>
              <w:rPr>
                <w:rFonts w:hint="eastAsia"/>
                <w:spacing w:val="-2"/>
              </w:rPr>
              <w:t>性能监控：监控监控程序自身的性能，确保其高效运行，不影响主系统的性能。</w:t>
            </w:r>
          </w:p>
          <w:p>
            <w:pPr>
              <w:pStyle w:val="19"/>
              <w:tabs>
                <w:tab w:val="left" w:pos="312"/>
              </w:tabs>
              <w:spacing w:line="240" w:lineRule="auto"/>
              <w:ind w:firstLine="0"/>
              <w:jc w:val="left"/>
              <w:rPr>
                <w:spacing w:val="-2"/>
              </w:rPr>
            </w:pPr>
            <w:r>
              <w:rPr>
                <w:rFonts w:hint="eastAsia"/>
                <w:spacing w:val="-2"/>
              </w:rPr>
              <w:t>优化更新：根据性能监控结果和用户反馈，定期对监控程序进行优化更新。</w:t>
            </w:r>
          </w:p>
          <w:p>
            <w:pPr>
              <w:pStyle w:val="19"/>
              <w:tabs>
                <w:tab w:val="left" w:pos="312"/>
              </w:tabs>
              <w:spacing w:line="240" w:lineRule="auto"/>
              <w:ind w:firstLine="0"/>
              <w:jc w:val="left"/>
              <w:rPr>
                <w:spacing w:val="6"/>
              </w:rPr>
            </w:pPr>
            <w:r>
              <w:rPr>
                <w:rFonts w:hint="eastAsia"/>
                <w:spacing w:val="6"/>
              </w:rPr>
              <w:t>6.网络监控和故障处理：</w:t>
            </w:r>
            <w:r>
              <w:rPr>
                <w:rFonts w:hint="eastAsia"/>
                <w:spacing w:val="-2"/>
              </w:rPr>
              <w:t>一年提供12次以上</w:t>
            </w:r>
            <w:r>
              <w:rPr>
                <w:rFonts w:hint="eastAsia"/>
                <w:spacing w:val="6"/>
              </w:rPr>
              <w:t>实时监控数据交换的状态评估，及时发现网络拥堵和故障，并记录故障处理的过程和结果，用于后续的问题分析和预防。</w:t>
            </w:r>
          </w:p>
          <w:p>
            <w:pPr>
              <w:pStyle w:val="19"/>
              <w:tabs>
                <w:tab w:val="left" w:pos="312"/>
              </w:tabs>
              <w:spacing w:line="240" w:lineRule="auto"/>
              <w:ind w:firstLine="0"/>
              <w:jc w:val="left"/>
              <w:rPr>
                <w:spacing w:val="-2"/>
              </w:rPr>
            </w:pPr>
            <w:r>
              <w:rPr>
                <w:rFonts w:hint="eastAsia"/>
                <w:spacing w:val="6"/>
              </w:rPr>
              <w:t>7.数据加密和访问控制策略：</w:t>
            </w:r>
            <w:r>
              <w:rPr>
                <w:rFonts w:hint="eastAsia"/>
                <w:spacing w:val="-2"/>
              </w:rPr>
              <w:t>一年提供4次以上</w:t>
            </w:r>
            <w:r>
              <w:rPr>
                <w:rFonts w:hint="eastAsia"/>
                <w:spacing w:val="6"/>
              </w:rPr>
              <w:t>系统访问控制策略评估和优化，确保只有授权用户才能访问敏感数据，确保数据在传输过程中的安全。</w:t>
            </w:r>
          </w:p>
        </w:tc>
        <w:tc>
          <w:tcPr>
            <w:tcW w:w="859"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1168"/>
          <w:jc w:val="left"/>
        </w:trPr>
        <w:tc>
          <w:tcPr>
            <w:tcW w:w="573" w:type="dxa"/>
            <w:tcBorders>
              <w:top w:val="single" w:sz="4" w:space="0" w:color="000000"/>
              <w:left w:val="single" w:sz="4" w:space="0" w:color="000000"/>
              <w:bottom w:val="single" w:sz="4" w:space="0" w:color="000000"/>
              <w:right w:val="single" w:sz="4" w:space="0" w:color="000000"/>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w:t>
            </w:r>
          </w:p>
        </w:tc>
        <w:tc>
          <w:tcPr>
            <w:tcW w:w="1049" w:type="dxa"/>
            <w:tcBorders>
              <w:top w:val="single" w:sz="4" w:space="0" w:color="000000"/>
              <w:left w:val="single" w:sz="4" w:space="0" w:color="000000"/>
              <w:bottom w:val="single" w:sz="4" w:space="0" w:color="000000"/>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000000"/>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spacing w:line="240" w:lineRule="auto"/>
              <w:ind w:firstLine="0"/>
              <w:jc w:val="left"/>
              <w:rPr>
                <w:rFonts w:ascii="宋体" w:hAnsi="宋体" w:cs="宋体"/>
                <w:spacing w:val="6"/>
              </w:rPr>
            </w:pPr>
            <w:r>
              <w:rPr>
                <w:rFonts w:hint="eastAsia"/>
                <w:spacing w:val="6"/>
              </w:rPr>
              <w:t>做好电子口岸专网食品安全子系统(深圳海关)供港蔬菜应用、食品安全子系统(深圳海关)供港水果应用、食品安全子系统(深圳海关)进口食品追溯与风险预警应用、动植物检疫业务管理子系统(深圳海关)出口木质包装应用、检疫处理业务子系统(深圳海关)检疫处理业务应用、技术性贸易措施(技术规范)管理子系统(深圳海关)进口食品技术贸易措施研究中心网站的数据交换对接和联调测试工作。具体包括：</w:t>
            </w:r>
          </w:p>
          <w:p>
            <w:pPr>
              <w:pStyle w:val="19"/>
              <w:spacing w:line="240" w:lineRule="auto"/>
              <w:ind w:firstLine="0"/>
              <w:jc w:val="left"/>
              <w:rPr>
                <w:spacing w:val="6"/>
              </w:rPr>
            </w:pPr>
            <w:r>
              <w:rPr>
                <w:rFonts w:hint="eastAsia"/>
                <w:spacing w:val="6"/>
              </w:rPr>
              <w:t>1.联调测试：根据管理要求，一年提供4次以上联调测试，在联调测试中验证数据对接的准确性，能够迅速响应并处理传输的数据。</w:t>
            </w:r>
          </w:p>
          <w:p>
            <w:pPr>
              <w:pStyle w:val="19"/>
              <w:spacing w:line="240" w:lineRule="auto"/>
              <w:ind w:firstLine="0"/>
              <w:jc w:val="left"/>
              <w:rPr>
                <w:spacing w:val="6"/>
              </w:rPr>
            </w:pPr>
            <w:r>
              <w:rPr>
                <w:rFonts w:hint="eastAsia"/>
                <w:spacing w:val="6"/>
              </w:rPr>
              <w:t>2.优化数据交换标准和接口协议：遵循数据交换标准和接口协议，确保数据交换的一致性和兼容性，定期更新接口协议，以适应新的业务需求和技术迭代。</w:t>
            </w:r>
          </w:p>
          <w:p>
            <w:pPr>
              <w:pStyle w:val="19"/>
              <w:spacing w:line="240" w:lineRule="auto"/>
              <w:ind w:firstLine="0"/>
              <w:jc w:val="left"/>
              <w:rPr>
                <w:spacing w:val="7"/>
              </w:rPr>
            </w:pPr>
            <w:r>
              <w:rPr>
                <w:rFonts w:hint="eastAsia"/>
                <w:spacing w:val="6"/>
              </w:rPr>
              <w:t>3.性能和安全保障：一年提供4次以上数据交换效果评估，包括传输速度、系统响应时间和数据处理能力。安全测试：进行安全测试，确保数据在交换过程中的安全性，防止数据泄露和未授权访问。</w:t>
            </w:r>
          </w:p>
        </w:tc>
        <w:tc>
          <w:tcPr>
            <w:tcW w:w="859" w:type="dxa"/>
            <w:tcBorders>
              <w:top w:val="single" w:sz="4" w:space="0" w:color="000000"/>
              <w:left w:val="single" w:sz="4" w:space="0" w:color="000000"/>
              <w:bottom w:val="single" w:sz="4" w:space="0" w:color="000000"/>
              <w:right w:val="single" w:sz="4" w:space="0" w:color="000000"/>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1168"/>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5</w:t>
            </w:r>
          </w:p>
        </w:tc>
        <w:tc>
          <w:tcPr>
            <w:tcW w:w="1049" w:type="dxa"/>
            <w:tcBorders>
              <w:top w:val="single" w:sz="4" w:space="0" w:color="000000"/>
              <w:left w:val="single" w:sz="4" w:space="0" w:color="000000"/>
              <w:bottom w:val="single" w:sz="4" w:space="0" w:color="auto"/>
              <w:right w:val="single" w:sz="4" w:space="0" w:color="000000"/>
              <w:tl2br w:val="nil"/>
              <w:tr2bl w:val="nil"/>
            </w:tcBorders>
            <w:vAlign w:val="center"/>
          </w:tcPr>
          <w:p>
            <w:pPr>
              <w:pStyle w:val="19"/>
              <w:spacing w:line="240" w:lineRule="auto"/>
              <w:ind w:firstLine="0"/>
              <w:jc w:val="center"/>
              <w:rPr>
                <w:rFonts w:ascii="宋体" w:hAnsi="宋体" w:cs="宋体"/>
                <w:spacing w:val="-3"/>
              </w:rPr>
            </w:pPr>
            <w:r>
              <w:rPr>
                <w:rFonts w:ascii="宋体" w:hAnsi="宋体" w:hint="eastAsia"/>
              </w:rPr>
              <w:t>▲</w:t>
            </w:r>
          </w:p>
        </w:tc>
        <w:tc>
          <w:tcPr>
            <w:tcW w:w="1049" w:type="dxa"/>
            <w:vMerge w:val="restart"/>
            <w:tcBorders>
              <w:top w:val="single" w:sz="4" w:space="0" w:color="000000"/>
              <w:left w:val="single" w:sz="4" w:space="0" w:color="000000"/>
              <w:bottom w:val="single" w:sz="4" w:space="0" w:color="auto"/>
              <w:right w:val="single" w:sz="4" w:space="0" w:color="000000"/>
              <w:tl2br w:val="nil"/>
              <w:tr2bl w:val="nil"/>
            </w:tcBorders>
          </w:tcPr>
          <w:p>
            <w:pPr>
              <w:pStyle w:val="19"/>
              <w:spacing w:line="240" w:lineRule="auto"/>
              <w:ind w:firstLine="0"/>
              <w:jc w:val="center"/>
              <w:rPr>
                <w:rFonts w:ascii="宋体" w:hAnsi="宋体" w:cs="宋体"/>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r>
              <w:rPr>
                <w:rFonts w:hint="eastAsia"/>
                <w:spacing w:val="-3"/>
              </w:rPr>
              <w:t>食品安全子系统(深圳海关)供港蔬菜应用变更及技术支持服务</w:t>
            </w: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做好食品安全子系统(深圳海关)供港蔬菜应用企业申报端(以下简称“企业申报端”)及相关功能的技术保障工作，及时处理因数据传输异常等原因出现数据非正常显示或丢失的各类异常，保障系统的稳定运行。具体包括：</w:t>
            </w:r>
          </w:p>
          <w:p>
            <w:pPr>
              <w:pStyle w:val="19"/>
              <w:spacing w:line="240" w:lineRule="auto"/>
              <w:ind w:firstLine="0"/>
              <w:jc w:val="left"/>
              <w:rPr>
                <w:spacing w:val="-2"/>
              </w:rPr>
            </w:pPr>
            <w:r>
              <w:rPr>
                <w:rFonts w:hint="eastAsia"/>
                <w:spacing w:val="-2"/>
              </w:rPr>
              <w:t>1.系统检查和维护：一年提供6次以上的系统检查，包括硬件、软件、网络连接和配置设置，以确保企业申报端的数据传输顺畅和系统稳定。</w:t>
            </w:r>
          </w:p>
          <w:p>
            <w:pPr>
              <w:pStyle w:val="19"/>
              <w:spacing w:line="240" w:lineRule="auto"/>
              <w:ind w:firstLine="0"/>
              <w:jc w:val="left"/>
              <w:rPr>
                <w:spacing w:val="-2"/>
              </w:rPr>
            </w:pPr>
            <w:r>
              <w:rPr>
                <w:rFonts w:hint="eastAsia"/>
                <w:spacing w:val="-2"/>
              </w:rPr>
              <w:t>2.预防性维护：在每次检查后执行必要的预防性维护工作，包括更新、打补丁和优化，以减少系统故障和数据传输问题。</w:t>
            </w:r>
          </w:p>
          <w:p>
            <w:pPr>
              <w:pStyle w:val="19"/>
              <w:spacing w:line="240" w:lineRule="auto"/>
              <w:ind w:firstLine="0"/>
              <w:jc w:val="left"/>
              <w:rPr>
                <w:spacing w:val="-2"/>
              </w:rPr>
            </w:pPr>
            <w:r>
              <w:rPr>
                <w:rFonts w:hint="eastAsia"/>
                <w:spacing w:val="-2"/>
              </w:rPr>
              <w:t>3.技术支持服务：提供7*24小时技术支持，确保企业申报端在遇到技术问题时能够迅速得到响应和解决。</w:t>
            </w:r>
          </w:p>
          <w:p>
            <w:pPr>
              <w:pStyle w:val="19"/>
              <w:spacing w:line="240" w:lineRule="auto"/>
              <w:ind w:firstLine="0"/>
              <w:jc w:val="left"/>
              <w:rPr>
                <w:spacing w:val="-2"/>
              </w:rPr>
            </w:pPr>
            <w:r>
              <w:rPr>
                <w:rFonts w:hint="eastAsia"/>
                <w:spacing w:val="-2"/>
              </w:rPr>
              <w:t>4.数据监控和风险预防：一年提供12次以上数据排查和确认，监控数据的完整性和准确性，防止数据丢失或未及时显示。</w:t>
            </w:r>
          </w:p>
          <w:p>
            <w:pPr>
              <w:pStyle w:val="19"/>
              <w:spacing w:line="240" w:lineRule="auto"/>
              <w:ind w:firstLine="0"/>
              <w:jc w:val="left"/>
              <w:rPr>
                <w:spacing w:val="-2"/>
              </w:rPr>
            </w:pP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p>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88"/>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6</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根据要求，做好企业申报端系统应用的更新部署、配置、调试工作，及时处理部署、调试过程中出现的各类问题，保障更新部署工作的高效稳定，及时为关联系统提供支持。具体包括：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2.一年提供4次以上系统功能改进评估，并根据评估结果制定和执行更新部署计划，以适应业务需求和技术要求的变化。</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p>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719"/>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7</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及时配合处理企业申报端使用时出现的各类问题，保障企业的正常操作使用。具体包括：</w:t>
            </w:r>
          </w:p>
          <w:p>
            <w:pPr>
              <w:pStyle w:val="19"/>
              <w:spacing w:line="240" w:lineRule="auto"/>
              <w:ind w:firstLine="0"/>
              <w:jc w:val="left"/>
              <w:rPr>
                <w:color w:val="FF0000"/>
                <w:spacing w:val="-1"/>
              </w:rPr>
            </w:pPr>
            <w:r>
              <w:rPr>
                <w:rFonts w:hint="eastAsia"/>
                <w:spacing w:val="-2"/>
              </w:rPr>
              <w:t>问题定期收集和解决：完善问题反馈机制，一年至少6次以上收集用户在使用企业申报端过程中的问题，对收集到的问题进行及时分析和解决，提升用户满意度。</w:t>
            </w: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909"/>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8</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53"/>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9</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根据业务需求，及时针对企业平台客户端进行调整、优化各类操作及功能，配合调整、优化之后的联调测试工作。具体包括：</w:t>
            </w:r>
          </w:p>
          <w:p>
            <w:pPr>
              <w:pStyle w:val="19"/>
              <w:tabs>
                <w:tab w:val="left" w:pos="312"/>
              </w:tabs>
              <w:spacing w:line="240" w:lineRule="auto"/>
              <w:ind w:firstLine="0"/>
              <w:jc w:val="left"/>
              <w:rPr>
                <w:spacing w:val="-2"/>
              </w:rPr>
            </w:pPr>
            <w:r>
              <w:rPr>
                <w:rFonts w:hint="eastAsia"/>
                <w:spacing w:val="-2"/>
              </w:rPr>
              <w:t>1.一年至少开展4次企业申报端的更新联调测试，确保每次更新后系统能够稳定运行。</w:t>
            </w:r>
          </w:p>
          <w:p>
            <w:pPr>
              <w:pStyle w:val="19"/>
              <w:spacing w:line="240" w:lineRule="auto"/>
              <w:ind w:firstLine="0"/>
              <w:jc w:val="left"/>
              <w:rPr>
                <w:color w:val="FF0000"/>
                <w:spacing w:val="-1"/>
              </w:rPr>
            </w:pPr>
            <w:r>
              <w:rPr>
                <w:rFonts w:hint="eastAsia"/>
                <w:spacing w:val="-2"/>
              </w:rPr>
              <w:t>2.一年至少进行4次企业申报端更新优化的必要性评估，基于业务需求变化、技术发展和用户反馈评价。根据评估结果实施优化，保障系统平稳运行。</w:t>
            </w: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99"/>
          <w:jc w:val="left"/>
        </w:trPr>
        <w:tc>
          <w:tcPr>
            <w:tcW w:w="573" w:type="dxa"/>
            <w:tcBorders>
              <w:top w:val="single" w:sz="4" w:space="0" w:color="000000"/>
              <w:left w:val="single" w:sz="4" w:space="0" w:color="000000"/>
              <w:bottom w:val="single" w:sz="4" w:space="0" w:color="000000"/>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10</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w:t>
            </w:r>
            <w:r>
              <w:rPr>
                <w:rFonts w:hint="eastAsia"/>
              </w:rPr>
              <w:t>系统进行安全加固，消除安全隐患，为企业端申报系</w:t>
            </w:r>
            <w:r>
              <w:rPr>
                <w:rFonts w:hint="eastAsia"/>
                <w:spacing w:val="-2"/>
              </w:rPr>
              <w:t>统安全稳定提供技术保障工作。具体包括：</w:t>
            </w:r>
          </w:p>
          <w:p>
            <w:pPr>
              <w:pStyle w:val="19"/>
              <w:widowControl/>
              <w:numPr>
                <w:ilvl w:val="0"/>
                <w:numId w:val="3"/>
              </w:numPr>
              <w:kinsoku w:val="0"/>
              <w:autoSpaceDE w:val="0"/>
              <w:autoSpaceDN w:val="0"/>
              <w:adjustRightInd w:val="0"/>
              <w:snapToGrid w:val="0"/>
              <w:spacing w:line="240" w:lineRule="auto"/>
              <w:jc w:val="left"/>
              <w:textAlignment w:val="baseline"/>
              <w:rPr>
                <w:spacing w:val="-2"/>
              </w:rPr>
            </w:pPr>
            <w:r>
              <w:rPr>
                <w:rFonts w:hint="eastAsia"/>
                <w:spacing w:val="-2"/>
              </w:rPr>
              <w:t>一年提供4次以上系统安全检查，确保所有安全措施符合最新的行业标准和法规要求。</w:t>
            </w:r>
          </w:p>
          <w:p>
            <w:pPr>
              <w:pStyle w:val="19"/>
              <w:widowControl/>
              <w:numPr>
                <w:ilvl w:val="0"/>
                <w:numId w:val="3"/>
              </w:numPr>
              <w:kinsoku w:val="0"/>
              <w:autoSpaceDE w:val="0"/>
              <w:autoSpaceDN w:val="0"/>
              <w:adjustRightInd w:val="0"/>
              <w:snapToGrid w:val="0"/>
              <w:spacing w:line="240" w:lineRule="auto"/>
              <w:jc w:val="left"/>
              <w:textAlignment w:val="baseline"/>
              <w:rPr>
                <w:spacing w:val="-2"/>
              </w:rPr>
            </w:pPr>
            <w:r>
              <w:rPr>
                <w:rFonts w:hint="eastAsia"/>
                <w:spacing w:val="-2"/>
              </w:rPr>
              <w:t>一年提供4次以上安全加固评估，并根据评估结果制定和执行安全加固计划，防止潜在网络攻击和数据泄露。</w:t>
            </w:r>
          </w:p>
          <w:p>
            <w:pPr>
              <w:pStyle w:val="19"/>
              <w:widowControl/>
              <w:numPr>
                <w:ilvl w:val="0"/>
                <w:numId w:val="3"/>
              </w:numPr>
              <w:kinsoku w:val="0"/>
              <w:autoSpaceDE w:val="0"/>
              <w:autoSpaceDN w:val="0"/>
              <w:adjustRightInd w:val="0"/>
              <w:snapToGrid w:val="0"/>
              <w:spacing w:line="240" w:lineRule="auto"/>
              <w:jc w:val="left"/>
              <w:textAlignment w:val="baseline"/>
              <w:rPr>
                <w:spacing w:val="-2"/>
              </w:rPr>
            </w:pPr>
            <w:r>
              <w:rPr>
                <w:rFonts w:hint="eastAsia"/>
                <w:spacing w:val="-2"/>
              </w:rPr>
              <w:t>一年提供4次以上紧急响应机制检查，以最小化安全事件的影响。</w:t>
            </w:r>
          </w:p>
          <w:p>
            <w:pPr>
              <w:pStyle w:val="19"/>
              <w:widowControl/>
              <w:numPr>
                <w:ilvl w:val="0"/>
                <w:numId w:val="3"/>
              </w:numPr>
              <w:kinsoku w:val="0"/>
              <w:autoSpaceDE w:val="0"/>
              <w:autoSpaceDN w:val="0"/>
              <w:adjustRightInd w:val="0"/>
              <w:snapToGrid w:val="0"/>
              <w:spacing w:line="240" w:lineRule="auto"/>
              <w:jc w:val="left"/>
              <w:textAlignment w:val="baseline"/>
              <w:rPr>
                <w:spacing w:val="-2"/>
              </w:rPr>
            </w:pPr>
            <w:r>
              <w:rPr>
                <w:rFonts w:hint="eastAsia"/>
                <w:spacing w:val="-2"/>
              </w:rPr>
              <w:t>一年提供4次以上安全加固技能提升指导，增强运维人员的安全意识和操作技能，确保正确处理安全相关事务。</w:t>
            </w:r>
          </w:p>
        </w:tc>
        <w:tc>
          <w:tcPr>
            <w:tcW w:w="859" w:type="dxa"/>
            <w:tcBorders>
              <w:top w:val="single" w:sz="4" w:space="0" w:color="000000"/>
              <w:left w:val="single" w:sz="4" w:space="0" w:color="000000"/>
              <w:bottom w:val="single" w:sz="4" w:space="0" w:color="000000"/>
              <w:right w:val="single" w:sz="4" w:space="0" w:color="000000"/>
              <w:tl2br w:val="nil"/>
              <w:tr2bl w:val="nil"/>
            </w:tcBorders>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000000"/>
              <w:left w:val="single" w:sz="4" w:space="0" w:color="000000"/>
              <w:bottom w:val="single" w:sz="4" w:space="0" w:color="auto"/>
              <w:right w:val="single" w:sz="4" w:space="0" w:color="000000"/>
              <w:tl2br w:val="nil"/>
              <w:tr2bl w:val="nil"/>
            </w:tcBorders>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11</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000000"/>
              <w:left w:val="single" w:sz="4" w:space="0" w:color="000000"/>
              <w:bottom w:val="single" w:sz="4" w:space="0" w:color="auto"/>
              <w:right w:val="single" w:sz="4" w:space="0" w:color="000000"/>
              <w:tl2br w:val="nil"/>
              <w:tr2bl w:val="nil"/>
            </w:tcBorders>
          </w:tcPr>
          <w:p>
            <w:pPr>
              <w:pStyle w:val="19"/>
              <w:spacing w:line="240" w:lineRule="auto"/>
              <w:ind w:firstLine="0"/>
              <w:jc w:val="left"/>
              <w:rPr>
                <w:rFonts w:ascii="宋体" w:hAnsi="宋体" w:cs="宋体"/>
                <w:spacing w:val="-2"/>
              </w:rPr>
            </w:pPr>
            <w:r>
              <w:rPr>
                <w:rFonts w:hint="eastAsia"/>
                <w:spacing w:val="-1"/>
              </w:rPr>
              <w:t>根据业务需求，针对企业申报端完善、维护系统内部接口和外部接口</w:t>
            </w:r>
            <w:r>
              <w:rPr>
                <w:rFonts w:hint="eastAsia"/>
                <w:spacing w:val="-2"/>
              </w:rPr>
              <w:t>，做好相应的联调测试，及时处理联调过程出现的各类问题。具体包括：</w:t>
            </w:r>
          </w:p>
          <w:p>
            <w:pPr>
              <w:pStyle w:val="19"/>
              <w:spacing w:line="240" w:lineRule="auto"/>
              <w:ind w:firstLine="0"/>
              <w:jc w:val="left"/>
              <w:rPr>
                <w:spacing w:val="-2"/>
              </w:rPr>
            </w:pPr>
            <w:r>
              <w:rPr>
                <w:rFonts w:hint="eastAsia"/>
                <w:spacing w:val="-2"/>
              </w:rPr>
              <w:t>1.一年提供4次以上数据交互接口性能评估，确保其在高并发情况下的稳定性和响应速度，满足企业申报端在高峰时段的使用需求。</w:t>
            </w:r>
          </w:p>
          <w:p>
            <w:pPr>
              <w:pStyle w:val="19"/>
              <w:spacing w:line="240" w:lineRule="auto"/>
              <w:ind w:firstLine="0"/>
              <w:jc w:val="left"/>
              <w:rPr>
                <w:spacing w:val="-1"/>
              </w:rPr>
            </w:pPr>
            <w:r>
              <w:rPr>
                <w:rFonts w:hint="eastAsia"/>
                <w:spacing w:val="-1"/>
              </w:rPr>
              <w:t>2.根据</w:t>
            </w:r>
            <w:r>
              <w:rPr>
                <w:rFonts w:hint="eastAsia"/>
                <w:spacing w:val="-2"/>
              </w:rPr>
              <w:t>一年4次以上的评估结果，结合管理要求，制定、执行数据交互接口的更新维护计划，以适应企业申报端的不断更新和业务需求的变化。</w:t>
            </w:r>
          </w:p>
        </w:tc>
        <w:tc>
          <w:tcPr>
            <w:tcW w:w="859" w:type="dxa"/>
            <w:tcBorders>
              <w:top w:val="single" w:sz="4" w:space="0" w:color="000000"/>
              <w:left w:val="single" w:sz="4" w:space="0" w:color="000000"/>
              <w:bottom w:val="single" w:sz="4" w:space="0" w:color="auto"/>
              <w:right w:val="single" w:sz="4" w:space="0" w:color="000000"/>
              <w:tl2br w:val="nil"/>
              <w:tr2bl w:val="nil"/>
            </w:tcBorders>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12</w:t>
            </w:r>
          </w:p>
        </w:tc>
        <w:tc>
          <w:tcPr>
            <w:tcW w:w="1049" w:type="dxa"/>
            <w:tcBorders>
              <w:top w:val="single" w:sz="4" w:space="0" w:color="000000"/>
              <w:left w:val="single" w:sz="4" w:space="0" w:color="000000"/>
              <w:bottom w:val="single" w:sz="4" w:space="0" w:color="auto"/>
              <w:right w:val="single" w:sz="4" w:space="0" w:color="000000"/>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000000"/>
              <w:left w:val="single" w:sz="4" w:space="0" w:color="000000"/>
              <w:bottom w:val="single" w:sz="4" w:space="0" w:color="auto"/>
              <w:right w:val="single" w:sz="4" w:space="0" w:color="000000"/>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根据业务需求，配合做好企业申报端系统的维护配置、系统管理等工作。具体包括：</w:t>
            </w:r>
          </w:p>
          <w:p>
            <w:pPr>
              <w:pStyle w:val="19"/>
              <w:spacing w:line="240" w:lineRule="auto"/>
              <w:ind w:firstLine="0"/>
              <w:jc w:val="left"/>
              <w:rPr>
                <w:spacing w:val="-2"/>
              </w:rPr>
            </w:pPr>
            <w:r>
              <w:rPr>
                <w:rFonts w:hint="eastAsia"/>
                <w:spacing w:val="-2"/>
              </w:rPr>
              <w:t>1.一年提供4次以上对企业申报端系统的维护配置工作，以适应政策法规的变动和市场环境的变化。</w:t>
            </w:r>
          </w:p>
          <w:p>
            <w:pPr>
              <w:pStyle w:val="19"/>
              <w:spacing w:line="240" w:lineRule="auto"/>
              <w:ind w:firstLine="0"/>
              <w:jc w:val="left"/>
              <w:rPr>
                <w:spacing w:val="-5"/>
              </w:rPr>
            </w:pPr>
            <w:r>
              <w:rPr>
                <w:rFonts w:hint="eastAsia"/>
                <w:spacing w:val="-2"/>
              </w:rPr>
              <w:t>2.一年提供12次以上对企申报端的技术支持和咨询服务，协助企业快速解决使用过程中遇到的问题。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13</w:t>
            </w:r>
          </w:p>
        </w:tc>
        <w:tc>
          <w:tcPr>
            <w:tcW w:w="1049" w:type="dxa"/>
            <w:tcBorders>
              <w:top w:val="single" w:sz="4" w:space="0" w:color="auto"/>
              <w:left w:val="single" w:sz="4" w:space="0" w:color="auto"/>
              <w:bottom w:val="single" w:sz="4" w:space="0" w:color="000000"/>
              <w:right w:val="single" w:sz="4" w:space="0" w:color="auto"/>
              <w:tl2br w:val="nil"/>
              <w:tr2bl w:val="nil"/>
            </w:tcBorders>
            <w:vAlign w:val="center"/>
          </w:tcPr>
          <w:p>
            <w:pPr>
              <w:pStyle w:val="19"/>
              <w:autoSpaceDN w:val="0"/>
              <w:spacing w:line="240" w:lineRule="auto"/>
              <w:ind w:firstLine="0"/>
              <w:jc w:val="center"/>
              <w:rPr>
                <w:szCs w:val="21"/>
              </w:rPr>
            </w:pPr>
            <w:r>
              <w:rPr>
                <w:rFonts w:ascii="宋体" w:hAnsi="宋体" w:hint="eastAsia"/>
              </w:rPr>
              <w:t>▲</w:t>
            </w:r>
          </w:p>
        </w:tc>
        <w:tc>
          <w:tcPr>
            <w:tcW w:w="1049" w:type="dxa"/>
            <w:vMerge w:val="restart"/>
            <w:tcBorders>
              <w:top w:val="single" w:sz="4" w:space="0" w:color="auto"/>
              <w:left w:val="single" w:sz="4" w:space="0" w:color="auto"/>
              <w:bottom w:val="single" w:sz="4" w:space="0" w:color="000000"/>
              <w:right w:val="single" w:sz="4" w:space="0" w:color="auto"/>
              <w:tl2br w:val="nil"/>
              <w:tr2bl w:val="nil"/>
            </w:tcBorders>
            <w:shd w:val="clear" w:color="auto" w:fill="auto"/>
          </w:tcPr>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autoSpaceDN w:val="0"/>
              <w:spacing w:line="240" w:lineRule="auto"/>
              <w:ind w:firstLine="0"/>
              <w:jc w:val="center"/>
              <w:rPr>
                <w:szCs w:val="21"/>
              </w:rPr>
            </w:pPr>
          </w:p>
          <w:p>
            <w:pPr>
              <w:pStyle w:val="19"/>
              <w:spacing w:line="240" w:lineRule="auto"/>
              <w:ind w:firstLine="0"/>
              <w:jc w:val="center"/>
            </w:pPr>
            <w:r>
              <w:rPr>
                <w:rFonts w:hint="eastAsia"/>
                <w:spacing w:val="-3"/>
              </w:rPr>
              <w:t>食品安全子系统(深圳海关)供港水果应用变更及技术支持服务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做好食品安全子系统(深圳海关) 供港水果应用企业申报端(以下简称“企业申报端”)及相关功能的技术保障工作，及时处理因数据传输异常等原因出现数据非正常显示或丢失的各类异常，保障系统的稳定运行。具体包括：</w:t>
            </w:r>
          </w:p>
          <w:p>
            <w:pPr>
              <w:pStyle w:val="9410"/>
              <w:jc w:val="left"/>
              <w:rPr>
                <w:rFonts w:eastAsia="Calibri" w:cs="Calibri"/>
                <w:spacing w:val="-2"/>
                <w:kern w:val="0"/>
                <w:sz w:val="24"/>
                <w:szCs w:val="24"/>
              </w:rPr>
            </w:pPr>
            <w:r>
              <w:rPr>
                <w:rFonts w:eastAsia="Calibri" w:cs="Calibri" w:hint="eastAsia"/>
                <w:spacing w:val="-2"/>
                <w:kern w:val="0"/>
                <w:sz w:val="24"/>
                <w:szCs w:val="24"/>
              </w:rPr>
              <w:t>1.系统检查和维护：一年提供6次以上的系统检查，包括硬件、软件、网络连接和配置设置，以确保企业申报端的数据传输顺畅和系统稳定。</w:t>
            </w:r>
          </w:p>
          <w:p>
            <w:pPr>
              <w:pStyle w:val="9410"/>
              <w:jc w:val="left"/>
              <w:rPr>
                <w:rFonts w:eastAsia="Calibri" w:cs="Calibri"/>
                <w:spacing w:val="-2"/>
                <w:kern w:val="0"/>
                <w:sz w:val="24"/>
                <w:szCs w:val="24"/>
              </w:rPr>
            </w:pPr>
            <w:r>
              <w:rPr>
                <w:rFonts w:eastAsia="Calibri" w:cs="Calibri" w:hint="eastAsia"/>
                <w:spacing w:val="-2"/>
                <w:kern w:val="0"/>
                <w:sz w:val="24"/>
                <w:szCs w:val="24"/>
              </w:rPr>
              <w:t>2.预防性维护：在每次检查后执行必要的预防性维护工作，包括更新、打补丁和优化，以减少系统故障和数据传输问题。</w:t>
            </w:r>
          </w:p>
          <w:p>
            <w:pPr>
              <w:pStyle w:val="9410"/>
              <w:jc w:val="left"/>
              <w:rPr>
                <w:rFonts w:eastAsia="Calibri" w:cs="Calibri"/>
                <w:spacing w:val="-2"/>
                <w:kern w:val="0"/>
                <w:sz w:val="24"/>
                <w:szCs w:val="24"/>
              </w:rPr>
            </w:pPr>
            <w:r>
              <w:rPr>
                <w:rFonts w:eastAsia="Calibri" w:cs="Calibri" w:hint="eastAsia"/>
                <w:spacing w:val="-2"/>
                <w:kern w:val="0"/>
                <w:sz w:val="24"/>
                <w:szCs w:val="24"/>
              </w:rPr>
              <w:t>3.技术支持服务：提供7*24小时技术支持，确保企业申报端在遇到技术问题时能够迅速得到响应和解决。</w:t>
            </w:r>
          </w:p>
          <w:p>
            <w:pPr>
              <w:pStyle w:val="9410"/>
              <w:jc w:val="left"/>
              <w:rPr>
                <w:rFonts w:eastAsia="Calibri" w:cs="Calibri"/>
                <w:spacing w:val="-2"/>
                <w:kern w:val="0"/>
                <w:sz w:val="24"/>
                <w:szCs w:val="24"/>
              </w:rPr>
            </w:pPr>
            <w:r>
              <w:rPr>
                <w:rFonts w:eastAsia="Calibri" w:cs="Calibri" w:hint="eastAsia"/>
                <w:spacing w:val="-2"/>
                <w:kern w:val="0"/>
                <w:sz w:val="24"/>
                <w:szCs w:val="24"/>
              </w:rPr>
              <w:t>4.数据监控和风险预防：一年提供12次以上数据排查和确认，监控数据的完整性和准确性，防止数据丢失或未及时显示。</w:t>
            </w:r>
          </w:p>
          <w:p>
            <w:pPr>
              <w:pStyle w:val="19"/>
              <w:spacing w:line="240" w:lineRule="auto"/>
              <w:ind w:firstLine="0"/>
              <w:jc w:val="left"/>
              <w:rPr>
                <w:spacing w:val="-1"/>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14</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根据要求，做好企业申报端系统应用的更新部署、配置、调试工作，及时处理部署、调试过程中出现的各类问题，保障更新部署工作的高效稳定，及时为关联系统提供支持。具体包括：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2.一年提供4次以上系统功能改进评估，并根据评估结果制定和执行更新部署计划，以适应业务需求和技术要求的变化。</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15</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及时配合处理企业申报端使用时出现的各类问题，保障企业的正常操作使用。具体包括：</w:t>
            </w:r>
          </w:p>
          <w:p>
            <w:pPr>
              <w:pStyle w:val="19"/>
              <w:spacing w:line="240" w:lineRule="auto"/>
              <w:ind w:firstLine="0"/>
              <w:jc w:val="left"/>
              <w:rPr>
                <w:color w:val="FF0000"/>
                <w:spacing w:val="-1"/>
              </w:rPr>
            </w:pPr>
            <w:r>
              <w:rPr>
                <w:rFonts w:hint="eastAsia"/>
                <w:spacing w:val="-2"/>
              </w:rPr>
              <w:t>问题定期收集和解决：完善问题反馈机制，一年至少6次以上收集用户在使用企业申报端过程中的问题，对收集到的问题进行及时分析和解决，提升用户满意度。</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16</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17</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根据业务需求，及时针对企业平台客户端进行调整、优化各类操作及功能，配合调整、优化之后的联调测试工作。具体包括：</w:t>
            </w:r>
          </w:p>
          <w:p>
            <w:pPr>
              <w:pStyle w:val="19"/>
              <w:tabs>
                <w:tab w:val="left" w:pos="312"/>
              </w:tabs>
              <w:spacing w:line="240" w:lineRule="auto"/>
              <w:ind w:firstLine="0"/>
              <w:jc w:val="left"/>
              <w:rPr>
                <w:spacing w:val="-2"/>
              </w:rPr>
            </w:pPr>
            <w:r>
              <w:rPr>
                <w:rFonts w:hint="eastAsia"/>
                <w:spacing w:val="-2"/>
              </w:rPr>
              <w:t>1.一年至少开展4次企业申报端的更新联调测试，确保每次更新后系统能够稳定运行。</w:t>
            </w:r>
          </w:p>
          <w:p>
            <w:pPr>
              <w:pStyle w:val="19"/>
              <w:spacing w:line="240" w:lineRule="auto"/>
              <w:ind w:firstLine="0"/>
              <w:jc w:val="left"/>
              <w:rPr>
                <w:color w:val="FF0000"/>
                <w:spacing w:val="-1"/>
              </w:rPr>
            </w:pPr>
            <w:r>
              <w:rPr>
                <w:rFonts w:hint="eastAsia"/>
                <w:spacing w:val="-2"/>
              </w:rPr>
              <w:t>2.一年至少进行4次企业申报端更新优化的必要性评估，基于业务需求变化、技术发展和用户反馈评价。根据评估结果实施优化，保障系统平稳运行。</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18</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w:t>
            </w:r>
            <w:r>
              <w:rPr>
                <w:rFonts w:hint="eastAsia"/>
              </w:rPr>
              <w:t>系统进行安全加固，消除安全隐患，为企业端申报系</w:t>
            </w:r>
            <w:r>
              <w:rPr>
                <w:rFonts w:hint="eastAsia"/>
                <w:spacing w:val="-2"/>
              </w:rPr>
              <w:t>统安全稳定提供技术保障工作。具体包括：</w:t>
            </w:r>
          </w:p>
          <w:p>
            <w:pPr>
              <w:pStyle w:val="19"/>
              <w:spacing w:line="240" w:lineRule="auto"/>
              <w:ind w:firstLine="0"/>
              <w:jc w:val="left"/>
              <w:rPr>
                <w:spacing w:val="-2"/>
              </w:rPr>
            </w:pPr>
            <w:r>
              <w:rPr>
                <w:rFonts w:hint="eastAsia"/>
                <w:spacing w:val="-2"/>
              </w:rPr>
              <w:t>1.一年提供4次以上系统安全检查，确保所有安全措施符合最新的行业标准和法规要求。</w:t>
            </w:r>
          </w:p>
          <w:p>
            <w:pPr>
              <w:pStyle w:val="19"/>
              <w:spacing w:line="240" w:lineRule="auto"/>
              <w:ind w:firstLine="0"/>
              <w:jc w:val="left"/>
              <w:rPr>
                <w:spacing w:val="-2"/>
              </w:rPr>
            </w:pPr>
            <w:r>
              <w:rPr>
                <w:rFonts w:hint="eastAsia"/>
                <w:spacing w:val="-2"/>
              </w:rPr>
              <w:t>2.一年提供4次以上安全加固评估，并根据评估结果制定和执行安全加固计划，防止潜在网络攻击和数据泄露。</w:t>
            </w:r>
          </w:p>
          <w:p>
            <w:pPr>
              <w:pStyle w:val="19"/>
              <w:spacing w:line="240" w:lineRule="auto"/>
              <w:ind w:firstLine="0"/>
              <w:jc w:val="left"/>
              <w:rPr>
                <w:spacing w:val="-2"/>
              </w:rPr>
            </w:pPr>
            <w:r>
              <w:rPr>
                <w:rFonts w:hint="eastAsia"/>
                <w:spacing w:val="-2"/>
              </w:rPr>
              <w:t>3.一年提供4次以上紧急响应机制检查，以最小化安全事件的影响。</w:t>
            </w:r>
          </w:p>
          <w:p>
            <w:pPr>
              <w:pStyle w:val="19"/>
              <w:spacing w:line="240" w:lineRule="auto"/>
              <w:ind w:firstLine="0"/>
              <w:jc w:val="left"/>
              <w:rPr>
                <w:spacing w:val="-2"/>
              </w:rPr>
            </w:pPr>
            <w:r>
              <w:rPr>
                <w:rFonts w:hint="eastAsia"/>
                <w:spacing w:val="-2"/>
              </w:rPr>
              <w:t>4.</w:t>
            </w:r>
            <w:r>
              <w:rPr>
                <w:rFonts w:hint="eastAsia"/>
              </w:rPr>
              <w:t xml:space="preserve"> </w:t>
            </w:r>
            <w:r>
              <w:rPr>
                <w:rFonts w:hint="eastAsia"/>
                <w:spacing w:val="-2"/>
              </w:rPr>
              <w:t>一年提供4次以上安全加固技能提升指导，增强运维人员的安全意识和操作技能，确保正确处理安全相关事务。</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19</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1"/>
              </w:rPr>
              <w:t>根据业务需求，针对企业申报端完善、维护系统内部接口和外部接口</w:t>
            </w:r>
            <w:r>
              <w:rPr>
                <w:rFonts w:hint="eastAsia"/>
                <w:spacing w:val="-2"/>
              </w:rPr>
              <w:t>，做好相应的联调测试，及时处理联调过程出现的各类问题。具体包括：</w:t>
            </w:r>
          </w:p>
          <w:p>
            <w:pPr>
              <w:pStyle w:val="19"/>
              <w:spacing w:line="240" w:lineRule="auto"/>
              <w:ind w:firstLine="0"/>
              <w:jc w:val="left"/>
              <w:rPr>
                <w:spacing w:val="-2"/>
              </w:rPr>
            </w:pPr>
            <w:r>
              <w:rPr>
                <w:rFonts w:hint="eastAsia"/>
                <w:spacing w:val="-2"/>
              </w:rPr>
              <w:t>1.一年提供4次以上数据交互接口性能评估，确保其在高并发情况下的稳定性和响应速度，满足企业申报端在高峰时段的使用需求。</w:t>
            </w:r>
          </w:p>
          <w:p>
            <w:pPr>
              <w:pStyle w:val="19"/>
              <w:spacing w:line="240" w:lineRule="auto"/>
              <w:ind w:firstLine="0"/>
              <w:jc w:val="left"/>
              <w:rPr>
                <w:spacing w:val="-1"/>
              </w:rPr>
            </w:pPr>
            <w:r>
              <w:rPr>
                <w:rFonts w:hint="eastAsia"/>
                <w:spacing w:val="-1"/>
              </w:rPr>
              <w:t>2.根据</w:t>
            </w:r>
            <w:r>
              <w:rPr>
                <w:rFonts w:hint="eastAsia"/>
                <w:spacing w:val="-2"/>
              </w:rPr>
              <w:t>一年4次以上的评估结果，结合管理要求，制定、执行数据交互接口的更新维护计划，以适应企业申报端的不断更新和业务需求的变化。</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20</w:t>
            </w:r>
          </w:p>
        </w:tc>
        <w:tc>
          <w:tcPr>
            <w:tcW w:w="1049" w:type="dxa"/>
            <w:tcBorders>
              <w:top w:val="single" w:sz="4" w:space="0" w:color="auto"/>
              <w:left w:val="single" w:sz="4" w:space="0" w:color="auto"/>
              <w:bottom w:val="single" w:sz="4" w:space="0" w:color="000000"/>
              <w:right w:val="single" w:sz="4" w:space="0" w:color="auto"/>
              <w:tl2br w:val="nil"/>
              <w:tr2bl w:val="nil"/>
            </w:tcBorders>
          </w:tcPr>
          <w:p>
            <w:pPr>
              <w:pStyle w:val="19"/>
              <w:widowControl/>
              <w:spacing w:line="240" w:lineRule="auto"/>
              <w:ind w:firstLine="0"/>
              <w:jc w:val="center"/>
              <w:rPr>
                <w:rFonts w:ascii="宋体" w:hAnsi="宋体" w:cs="宋体"/>
                <w:color w:val="000000"/>
                <w:szCs w:val="21"/>
              </w:rPr>
            </w:pPr>
          </w:p>
        </w:tc>
        <w:tc>
          <w:tcPr>
            <w:tcW w:w="1049" w:type="dxa"/>
            <w:vMerge/>
            <w:tcBorders>
              <w:top w:val="single" w:sz="4" w:space="0" w:color="auto"/>
              <w:left w:val="single" w:sz="4" w:space="0" w:color="auto"/>
              <w:bottom w:val="single" w:sz="4" w:space="0" w:color="000000"/>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根据业务需求，配合做好企业申报端系统的维护配置、系统管理等工作。具体包括：</w:t>
            </w:r>
          </w:p>
          <w:p>
            <w:pPr>
              <w:pStyle w:val="19"/>
              <w:spacing w:line="240" w:lineRule="auto"/>
              <w:ind w:firstLine="0"/>
              <w:jc w:val="left"/>
              <w:rPr>
                <w:spacing w:val="-2"/>
              </w:rPr>
            </w:pPr>
            <w:r>
              <w:rPr>
                <w:rFonts w:hint="eastAsia"/>
                <w:spacing w:val="-2"/>
              </w:rPr>
              <w:t>1.一年提供4次以上对企业申报端系统的维护配置工作，以适应政策法规的变动和市场环境的变化。</w:t>
            </w:r>
          </w:p>
          <w:p>
            <w:pPr>
              <w:pStyle w:val="19"/>
              <w:spacing w:line="240" w:lineRule="auto"/>
              <w:ind w:firstLine="0"/>
              <w:jc w:val="left"/>
              <w:rPr>
                <w:spacing w:val="-5"/>
              </w:rPr>
            </w:pPr>
            <w:r>
              <w:rPr>
                <w:rFonts w:hint="eastAsia"/>
                <w:spacing w:val="-2"/>
              </w:rPr>
              <w:t>2.一年提供12次以上对企申报端的技术支持和咨询服务，协助企业快速解决使用过程中遇到的问题。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21</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autoSpaceDN w:val="0"/>
              <w:spacing w:line="240" w:lineRule="auto"/>
              <w:ind w:firstLine="0"/>
              <w:jc w:val="center"/>
              <w:rPr>
                <w:rFonts w:ascii="宋体" w:hAnsi="宋体" w:cs="宋体"/>
                <w:spacing w:val="-3"/>
                <w:szCs w:val="21"/>
              </w:rPr>
            </w:pPr>
            <w:r>
              <w:rPr>
                <w:rFonts w:ascii="宋体" w:hAnsi="宋体" w:cs="宋体" w:hint="eastAsia"/>
                <w:spacing w:val="-3"/>
                <w:szCs w:val="21"/>
              </w:rPr>
              <w:t>▲</w:t>
            </w:r>
          </w:p>
        </w:tc>
        <w:tc>
          <w:tcPr>
            <w:tcW w:w="1049" w:type="dxa"/>
            <w:vMerge w:val="restart"/>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spacing w:line="240" w:lineRule="auto"/>
              <w:ind w:firstLine="0"/>
              <w:jc w:val="center"/>
              <w:rPr>
                <w:spacing w:val="-3"/>
              </w:rPr>
            </w:pPr>
            <w:r>
              <w:rPr>
                <w:rFonts w:hint="eastAsia"/>
                <w:spacing w:val="-3"/>
              </w:rPr>
              <w:t>动植物检疫业务管理子系统(深圳海关)出口木质包装应用变更及技术支持服务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做好动植物检疫业务管理子系统(深圳海关)出口木质包装应用企业申报端(以下简称“企业申报端”)及相关功能的技术保障工作，及时处理因数据传输异常等原因出现数据非正常显示或丢失的各类异常，保障系统的稳定运行。具体包括：</w:t>
            </w:r>
          </w:p>
          <w:p>
            <w:pPr>
              <w:pStyle w:val="95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1.系统检查和维护：一年提供6次以上的系统检查，包括硬件、软件、网络连接和配置设置，以确保企业申报端的数据传输顺畅和系统稳定。</w:t>
            </w:r>
          </w:p>
          <w:p>
            <w:pPr>
              <w:pStyle w:val="95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2.预防性维护：在每次检查后执行必要的预防性维护工作，包括更新、打补丁和优化，以减少系统故障和数据传输问题。</w:t>
            </w:r>
          </w:p>
          <w:p>
            <w:pPr>
              <w:pStyle w:val="95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3.技术支持服务：提供7*24小时技术支持，确保企业申报端在遇到技术问题时能够迅速得到响应和解决。</w:t>
            </w:r>
          </w:p>
          <w:p>
            <w:pPr>
              <w:pStyle w:val="95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4.数据监控和风险预防：一年提供12次以上数据排查和确认，监控数据的完整性和准确性，防止数据丢失或未及时显示。</w:t>
            </w:r>
          </w:p>
          <w:p>
            <w:pPr>
              <w:pStyle w:val="19"/>
              <w:spacing w:line="240" w:lineRule="auto"/>
              <w:ind w:firstLine="0"/>
              <w:jc w:val="left"/>
              <w:rPr>
                <w:spacing w:val="-1"/>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22</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根据要求，做好企业申报端系统应用的更新部署、配置、调试工作，及时处理部署、调试过程中出现的各类问题，保障更新部署工作的高效稳定，及时为关联系统提供支持。具体包括：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2.一年提供4次以上系统功能改进评估，并根据评估结果制定和执行更新部署计划，以适应业务需求和技术要求的变化。</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23</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及时配合处理企业申报端使用时出现的各类问题，保障企业的正常操作使用。具体包括：</w:t>
            </w:r>
          </w:p>
          <w:p>
            <w:pPr>
              <w:pStyle w:val="19"/>
              <w:spacing w:line="240" w:lineRule="auto"/>
              <w:ind w:firstLine="0"/>
              <w:jc w:val="left"/>
              <w:rPr>
                <w:color w:val="FF0000"/>
                <w:spacing w:val="-1"/>
              </w:rPr>
            </w:pPr>
            <w:r>
              <w:rPr>
                <w:rFonts w:hint="eastAsia"/>
                <w:spacing w:val="-2"/>
              </w:rPr>
              <w:t>问题定期收集和解决：完善问题反馈机制，一年至少6次以上收集用户在使用企业申报端过程中的问题，对收集到的问题进行及时分析和解决，提升用户满意度。</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24</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25</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根据业务需求，及时针对企业平台客户端进行调整、优化各类操作及功能，配合调整、优化之后的联调测试工作。具体包括：</w:t>
            </w:r>
          </w:p>
          <w:p>
            <w:pPr>
              <w:pStyle w:val="19"/>
              <w:tabs>
                <w:tab w:val="left" w:pos="312"/>
              </w:tabs>
              <w:spacing w:line="240" w:lineRule="auto"/>
              <w:ind w:firstLine="0"/>
              <w:jc w:val="left"/>
              <w:rPr>
                <w:spacing w:val="-2"/>
              </w:rPr>
            </w:pPr>
            <w:r>
              <w:rPr>
                <w:rFonts w:hint="eastAsia"/>
                <w:spacing w:val="-2"/>
              </w:rPr>
              <w:t>1.一年至少开展4次企业申报端的更新联调测试，确保每次更新后系统能够稳定运行。</w:t>
            </w:r>
          </w:p>
          <w:p>
            <w:pPr>
              <w:pStyle w:val="19"/>
              <w:spacing w:line="240" w:lineRule="auto"/>
              <w:ind w:firstLine="0"/>
              <w:jc w:val="left"/>
              <w:rPr>
                <w:color w:val="FF0000"/>
                <w:spacing w:val="-1"/>
              </w:rPr>
            </w:pPr>
            <w:r>
              <w:rPr>
                <w:rFonts w:hint="eastAsia"/>
                <w:spacing w:val="-2"/>
              </w:rPr>
              <w:t>2.一年至少进行4次企业申报端更新优化的必要性评估，基于业务需求变化、技术发展和用户反馈评价。根据评估结果实施优化，保障系统平稳运行。</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26</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w:t>
            </w:r>
            <w:r>
              <w:rPr>
                <w:rFonts w:hint="eastAsia"/>
              </w:rPr>
              <w:t>系统进行安全加固，消除安全隐患，为企业端申报系</w:t>
            </w:r>
            <w:r>
              <w:rPr>
                <w:rFonts w:hint="eastAsia"/>
                <w:spacing w:val="-2"/>
              </w:rPr>
              <w:t>统安全稳定提供技术保障工作。具体包括：</w:t>
            </w:r>
          </w:p>
          <w:p>
            <w:pPr>
              <w:pStyle w:val="19"/>
              <w:spacing w:line="240" w:lineRule="auto"/>
              <w:ind w:firstLine="0"/>
              <w:jc w:val="left"/>
              <w:rPr>
                <w:spacing w:val="-2"/>
              </w:rPr>
            </w:pPr>
            <w:r>
              <w:rPr>
                <w:rFonts w:hint="eastAsia"/>
                <w:spacing w:val="-2"/>
              </w:rPr>
              <w:t>1.一年提供4次以上系统安全检查，确保所有安全措施符合最新的行业标准和法规要求。</w:t>
            </w:r>
          </w:p>
          <w:p>
            <w:pPr>
              <w:pStyle w:val="19"/>
              <w:spacing w:line="240" w:lineRule="auto"/>
              <w:ind w:firstLine="0"/>
              <w:jc w:val="left"/>
              <w:rPr>
                <w:spacing w:val="-2"/>
              </w:rPr>
            </w:pPr>
            <w:r>
              <w:rPr>
                <w:rFonts w:hint="eastAsia"/>
                <w:spacing w:val="-2"/>
              </w:rPr>
              <w:t>2.一年提供4次以上安全加固评估，并根据评估结果制定和执行安全加固计划，防止潜在网络攻击和数据泄露。</w:t>
            </w:r>
          </w:p>
          <w:p>
            <w:pPr>
              <w:pStyle w:val="19"/>
              <w:spacing w:line="240" w:lineRule="auto"/>
              <w:ind w:firstLine="0"/>
              <w:jc w:val="left"/>
              <w:rPr>
                <w:spacing w:val="-2"/>
              </w:rPr>
            </w:pPr>
            <w:r>
              <w:rPr>
                <w:rFonts w:hint="eastAsia"/>
                <w:spacing w:val="-2"/>
              </w:rPr>
              <w:t>3.一年提供4次以上紧急响应机制检查，以最小化安全事件的影响。</w:t>
            </w:r>
          </w:p>
          <w:p>
            <w:pPr>
              <w:pStyle w:val="19"/>
              <w:spacing w:line="240" w:lineRule="auto"/>
              <w:ind w:firstLine="0"/>
              <w:jc w:val="left"/>
              <w:rPr>
                <w:spacing w:val="-2"/>
              </w:rPr>
            </w:pPr>
            <w:r>
              <w:rPr>
                <w:rFonts w:hint="eastAsia"/>
                <w:spacing w:val="-2"/>
              </w:rPr>
              <w:t>4.</w:t>
            </w:r>
            <w:r>
              <w:rPr>
                <w:rFonts w:hint="eastAsia"/>
              </w:rPr>
              <w:t xml:space="preserve"> </w:t>
            </w:r>
            <w:r>
              <w:rPr>
                <w:rFonts w:hint="eastAsia"/>
                <w:spacing w:val="-2"/>
              </w:rPr>
              <w:t>一年提供4次以上安全加固技能提升指导，增强运维人员的安全意识和操作技能，确保正确处理安全相关事务。</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27</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1"/>
              </w:rPr>
              <w:t>根据业务需求，针对企业申报端完善、维护系统内部接口和外部接口</w:t>
            </w:r>
            <w:r>
              <w:rPr>
                <w:rFonts w:hint="eastAsia"/>
                <w:spacing w:val="-2"/>
              </w:rPr>
              <w:t>，做好相应的联调测试，及时处理联调过程出现的各类问题。具体包括：</w:t>
            </w:r>
          </w:p>
          <w:p>
            <w:pPr>
              <w:pStyle w:val="19"/>
              <w:spacing w:line="240" w:lineRule="auto"/>
              <w:ind w:firstLine="0"/>
              <w:jc w:val="left"/>
              <w:rPr>
                <w:spacing w:val="-2"/>
              </w:rPr>
            </w:pPr>
            <w:r>
              <w:rPr>
                <w:rFonts w:hint="eastAsia"/>
                <w:spacing w:val="-2"/>
              </w:rPr>
              <w:t>1.一年提供4次以上数据交互接口性能评估，确保其在高并发情况下的稳定性和响应速度，满足企业申报端在高峰时段的使用需求。</w:t>
            </w:r>
          </w:p>
          <w:p>
            <w:pPr>
              <w:pStyle w:val="19"/>
              <w:spacing w:line="240" w:lineRule="auto"/>
              <w:ind w:firstLine="0"/>
              <w:jc w:val="left"/>
              <w:rPr>
                <w:spacing w:val="-1"/>
              </w:rPr>
            </w:pPr>
            <w:r>
              <w:rPr>
                <w:rFonts w:hint="eastAsia"/>
                <w:spacing w:val="-1"/>
              </w:rPr>
              <w:t>2.根据</w:t>
            </w:r>
            <w:r>
              <w:rPr>
                <w:rFonts w:hint="eastAsia"/>
                <w:spacing w:val="-2"/>
              </w:rPr>
              <w:t>一年4次以上的评估结果，结合管理要求，制定、执行数据交互接口的更新维护计划，以适应企业申报端的不断更新和业务需求的变化。</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28</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根据业务需求，配合做好企业申报端系统的维护配置、系统管理等工作。具体包括：</w:t>
            </w:r>
          </w:p>
          <w:p>
            <w:pPr>
              <w:pStyle w:val="19"/>
              <w:spacing w:line="240" w:lineRule="auto"/>
              <w:ind w:firstLine="0"/>
              <w:jc w:val="left"/>
              <w:rPr>
                <w:spacing w:val="-2"/>
              </w:rPr>
            </w:pPr>
            <w:r>
              <w:rPr>
                <w:rFonts w:hint="eastAsia"/>
                <w:spacing w:val="-2"/>
              </w:rPr>
              <w:t>1.一年提供4次以上对企业申报端系统的维护配置工作，以适应政策法规的变动和市场环境的变化。</w:t>
            </w:r>
          </w:p>
          <w:p>
            <w:pPr>
              <w:pStyle w:val="19"/>
              <w:spacing w:line="240" w:lineRule="auto"/>
              <w:ind w:firstLine="0"/>
              <w:jc w:val="left"/>
              <w:rPr>
                <w:spacing w:val="-5"/>
              </w:rPr>
            </w:pPr>
            <w:r>
              <w:rPr>
                <w:rFonts w:hint="eastAsia"/>
                <w:spacing w:val="-2"/>
              </w:rPr>
              <w:t>2.一年提供12次以上对企申报端的技术支持和咨询服务，协助企业快速解决使用过程中遇到的问题。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29</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autoSpaceDN w:val="0"/>
              <w:spacing w:line="240" w:lineRule="auto"/>
              <w:ind w:firstLine="0"/>
              <w:jc w:val="center"/>
              <w:rPr>
                <w:rFonts w:ascii="宋体" w:hAnsi="宋体" w:cs="宋体"/>
                <w:spacing w:val="-3"/>
                <w:szCs w:val="21"/>
              </w:rPr>
            </w:pPr>
            <w:r>
              <w:rPr>
                <w:rFonts w:ascii="宋体" w:hAnsi="宋体" w:cs="宋体" w:hint="eastAsia"/>
                <w:spacing w:val="-3"/>
                <w:szCs w:val="21"/>
              </w:rPr>
              <w:t>▲</w:t>
            </w:r>
          </w:p>
        </w:tc>
        <w:tc>
          <w:tcPr>
            <w:tcW w:w="1049" w:type="dxa"/>
            <w:vMerge w:val="restart"/>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autoSpaceDN w:val="0"/>
              <w:spacing w:line="240" w:lineRule="auto"/>
              <w:ind w:firstLine="0"/>
              <w:jc w:val="center"/>
              <w:rPr>
                <w:rFonts w:ascii="宋体" w:hAnsi="宋体" w:cs="宋体"/>
                <w:spacing w:val="-3"/>
                <w:szCs w:val="21"/>
              </w:rPr>
            </w:pPr>
          </w:p>
          <w:p>
            <w:pPr>
              <w:pStyle w:val="19"/>
              <w:spacing w:line="240" w:lineRule="auto"/>
              <w:ind w:firstLine="0"/>
              <w:jc w:val="center"/>
              <w:rPr>
                <w:rFonts w:ascii="宋体" w:hAnsi="宋体" w:cs="宋体"/>
                <w:spacing w:val="-3"/>
                <w:szCs w:val="21"/>
              </w:rPr>
            </w:pPr>
            <w:r>
              <w:rPr>
                <w:rFonts w:hint="eastAsia"/>
                <w:spacing w:val="-3"/>
              </w:rPr>
              <w:t>检疫处理业务子系统(深圳海关)检疫处理业务应用变更</w:t>
            </w:r>
          </w:p>
          <w:p>
            <w:pPr>
              <w:pStyle w:val="19"/>
              <w:spacing w:line="240" w:lineRule="auto"/>
              <w:ind w:firstLine="0"/>
              <w:jc w:val="center"/>
              <w:rPr>
                <w:spacing w:val="-3"/>
              </w:rPr>
            </w:pPr>
            <w:r>
              <w:rPr>
                <w:rFonts w:hint="eastAsia"/>
                <w:spacing w:val="-3"/>
              </w:rPr>
              <w:t>及技术支持服务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做好检疫处理业务子系统(深圳海关)检疫处理业务应用企业申报端(以下简称“企业申报端”)及相关功能的技术保障工作，及时处理因数据传输异常等原因出现数据非正常显示或丢失的各类异常，保障系统的稳定运行。具体包括：</w:t>
            </w:r>
          </w:p>
          <w:p>
            <w:pPr>
              <w:pStyle w:val="9610"/>
              <w:jc w:val="left"/>
              <w:rPr>
                <w:rFonts w:eastAsia="Calibri" w:cs="Calibri"/>
                <w:spacing w:val="-2"/>
                <w:kern w:val="0"/>
                <w:sz w:val="24"/>
                <w:szCs w:val="24"/>
              </w:rPr>
            </w:pPr>
            <w:r>
              <w:rPr>
                <w:rFonts w:eastAsia="Calibri" w:cs="Calibri" w:hint="eastAsia"/>
                <w:spacing w:val="-2"/>
                <w:kern w:val="0"/>
                <w:sz w:val="24"/>
                <w:szCs w:val="24"/>
              </w:rPr>
              <w:t>1.系统检查和维护：一年提供6次以上的系统检查，包括硬件、软件、网络连接和配置设置，以确保企业申报端的数据传输顺畅和系统稳定。</w:t>
            </w:r>
          </w:p>
          <w:p>
            <w:pPr>
              <w:pStyle w:val="9610"/>
              <w:jc w:val="left"/>
              <w:rPr>
                <w:rFonts w:eastAsia="Calibri" w:cs="Calibri"/>
                <w:spacing w:val="-2"/>
                <w:kern w:val="0"/>
                <w:sz w:val="24"/>
                <w:szCs w:val="24"/>
              </w:rPr>
            </w:pPr>
            <w:r>
              <w:rPr>
                <w:rFonts w:eastAsia="Calibri" w:cs="Calibri" w:hint="eastAsia"/>
                <w:spacing w:val="-2"/>
                <w:kern w:val="0"/>
                <w:sz w:val="24"/>
                <w:szCs w:val="24"/>
              </w:rPr>
              <w:t>2.预防性维护：在每次检查后执行必要的预防性维护工作，包括更新、打补丁和优化，以减少系统故障和数据传输问题。</w:t>
            </w:r>
          </w:p>
          <w:p>
            <w:pPr>
              <w:pStyle w:val="9610"/>
              <w:jc w:val="left"/>
              <w:rPr>
                <w:rFonts w:eastAsia="Calibri" w:cs="Calibri"/>
                <w:spacing w:val="-2"/>
                <w:kern w:val="0"/>
                <w:sz w:val="24"/>
                <w:szCs w:val="24"/>
              </w:rPr>
            </w:pPr>
            <w:r>
              <w:rPr>
                <w:rFonts w:eastAsia="Calibri" w:cs="Calibri" w:hint="eastAsia"/>
                <w:spacing w:val="-2"/>
                <w:kern w:val="0"/>
                <w:sz w:val="24"/>
                <w:szCs w:val="24"/>
              </w:rPr>
              <w:t>3.技术支持服务：提供7*24小时技术支持，确保企业申报端在遇到技术问题时能够迅速得到响应和解决。</w:t>
            </w:r>
          </w:p>
          <w:p>
            <w:pPr>
              <w:pStyle w:val="9610"/>
              <w:jc w:val="left"/>
              <w:rPr>
                <w:rFonts w:eastAsia="Calibri" w:cs="Calibri"/>
                <w:spacing w:val="-2"/>
                <w:kern w:val="0"/>
                <w:sz w:val="24"/>
                <w:szCs w:val="24"/>
              </w:rPr>
            </w:pPr>
            <w:r>
              <w:rPr>
                <w:rFonts w:eastAsia="Calibri" w:cs="Calibri" w:hint="eastAsia"/>
                <w:spacing w:val="-2"/>
                <w:kern w:val="0"/>
                <w:sz w:val="24"/>
                <w:szCs w:val="24"/>
              </w:rPr>
              <w:t>4.数据监控和风险预防：一年提供12次以上数据排查和确认，监控数据的完整性和准确性，防止数据丢失或未及时显示。</w:t>
            </w:r>
          </w:p>
          <w:p>
            <w:pPr>
              <w:pStyle w:val="19"/>
              <w:spacing w:line="240" w:lineRule="auto"/>
              <w:ind w:firstLine="0"/>
              <w:jc w:val="left"/>
              <w:rPr>
                <w:spacing w:val="-4"/>
                <w:sz w:val="22"/>
                <w:szCs w:val="22"/>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30</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根据要求，做好企业申报端系统应用的更新部署、配置、调试工作，及时处理部署、调试过程中出现的各类问题，保障更新部署工作的高效稳定，及时为关联系统提供支持。具体包括：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2.一年提供4次以上系统功能改进评估，并根据评估结果制定和执行更新部署计划，以适应业务需求和技术要求的变化。</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31</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及时配合处理企业申报端使用时出现的各类问题，保障企业的正常操作使用。具体包括：</w:t>
            </w:r>
          </w:p>
          <w:p>
            <w:pPr>
              <w:pStyle w:val="19"/>
              <w:spacing w:line="240" w:lineRule="auto"/>
              <w:ind w:firstLine="0"/>
              <w:jc w:val="left"/>
              <w:rPr>
                <w:color w:val="FF0000"/>
                <w:spacing w:val="-1"/>
              </w:rPr>
            </w:pPr>
            <w:r>
              <w:rPr>
                <w:rFonts w:hint="eastAsia"/>
                <w:spacing w:val="-2"/>
              </w:rPr>
              <w:t>问题定期收集和解决：完善问题反馈机制，一年至少6次以上收集用户在使用企业申报端过程中的问题，对收集到的问题进行及时分析和解决，提升用户满意度。</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32</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33</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根据业务需求，及时针对企业平台客户端进行调整、优化各类操作及功能，配合调整、优化之后的联调测试工作。具体包括：</w:t>
            </w:r>
          </w:p>
          <w:p>
            <w:pPr>
              <w:pStyle w:val="19"/>
              <w:tabs>
                <w:tab w:val="left" w:pos="312"/>
              </w:tabs>
              <w:spacing w:line="240" w:lineRule="auto"/>
              <w:ind w:firstLine="0"/>
              <w:jc w:val="left"/>
              <w:rPr>
                <w:spacing w:val="-2"/>
              </w:rPr>
            </w:pPr>
            <w:r>
              <w:rPr>
                <w:rFonts w:hint="eastAsia"/>
                <w:spacing w:val="-2"/>
              </w:rPr>
              <w:t>1.一年至少开展4次企业平台客户端的更新联调测试，确保每次更新后系统能够稳定运行。</w:t>
            </w:r>
          </w:p>
          <w:p>
            <w:pPr>
              <w:pStyle w:val="19"/>
              <w:spacing w:line="240" w:lineRule="auto"/>
              <w:ind w:firstLine="0"/>
              <w:jc w:val="left"/>
              <w:rPr>
                <w:color w:val="FF0000"/>
                <w:spacing w:val="-1"/>
              </w:rPr>
            </w:pPr>
            <w:r>
              <w:rPr>
                <w:rFonts w:hint="eastAsia"/>
                <w:spacing w:val="-2"/>
              </w:rPr>
              <w:t>2.一年至少进行4次企业平台客户端更新优化的必要性评估，基于业务需求变化、技术发展和用户反馈评价。根据评估结果实施优化，保障系统平稳运行。</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34</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w:t>
            </w:r>
            <w:r>
              <w:rPr>
                <w:rFonts w:hint="eastAsia"/>
              </w:rPr>
              <w:t>系统进行安全加固，消除安全隐患，为企业端申报系</w:t>
            </w:r>
            <w:r>
              <w:rPr>
                <w:rFonts w:hint="eastAsia"/>
                <w:spacing w:val="-2"/>
              </w:rPr>
              <w:t>统安全稳定提供技术保障工作。具体包括：</w:t>
            </w:r>
          </w:p>
          <w:p>
            <w:pPr>
              <w:pStyle w:val="19"/>
              <w:spacing w:line="240" w:lineRule="auto"/>
              <w:ind w:firstLine="0"/>
              <w:jc w:val="left"/>
              <w:rPr>
                <w:spacing w:val="-2"/>
              </w:rPr>
            </w:pPr>
            <w:r>
              <w:rPr>
                <w:rFonts w:hint="eastAsia"/>
                <w:spacing w:val="-2"/>
              </w:rPr>
              <w:t>1.一年提供4次以上系统安全检查，确保所有安全措施符合最新的行业标准和法规要求。</w:t>
            </w:r>
          </w:p>
          <w:p>
            <w:pPr>
              <w:pStyle w:val="19"/>
              <w:spacing w:line="240" w:lineRule="auto"/>
              <w:ind w:firstLine="0"/>
              <w:jc w:val="left"/>
              <w:rPr>
                <w:spacing w:val="-2"/>
              </w:rPr>
            </w:pPr>
            <w:r>
              <w:rPr>
                <w:rFonts w:hint="eastAsia"/>
                <w:spacing w:val="-2"/>
              </w:rPr>
              <w:t>2.一年提供4次以上安全加固评估，并根据评估结果制定和执行安全加固计划，防止潜在网络攻击和数据泄露。</w:t>
            </w:r>
          </w:p>
          <w:p>
            <w:pPr>
              <w:pStyle w:val="19"/>
              <w:spacing w:line="240" w:lineRule="auto"/>
              <w:ind w:firstLine="0"/>
              <w:jc w:val="left"/>
              <w:rPr>
                <w:spacing w:val="-2"/>
              </w:rPr>
            </w:pPr>
            <w:r>
              <w:rPr>
                <w:rFonts w:hint="eastAsia"/>
                <w:spacing w:val="-2"/>
              </w:rPr>
              <w:t>3.一年提供4次以上紧急响应机制检查，以最小化安全事件的影响。</w:t>
            </w:r>
          </w:p>
          <w:p>
            <w:pPr>
              <w:pStyle w:val="19"/>
              <w:spacing w:line="240" w:lineRule="auto"/>
              <w:ind w:firstLine="0"/>
              <w:jc w:val="left"/>
              <w:rPr>
                <w:spacing w:val="-2"/>
              </w:rPr>
            </w:pPr>
            <w:r>
              <w:rPr>
                <w:rFonts w:hint="eastAsia"/>
                <w:spacing w:val="-2"/>
              </w:rPr>
              <w:t>4.</w:t>
            </w:r>
            <w:r>
              <w:rPr>
                <w:rFonts w:hint="eastAsia"/>
              </w:rPr>
              <w:t xml:space="preserve"> </w:t>
            </w:r>
            <w:r>
              <w:rPr>
                <w:rFonts w:hint="eastAsia"/>
                <w:spacing w:val="-2"/>
              </w:rPr>
              <w:t>一年提供4次以上安全加固技能提升指导，增强运维人员的安全意识和操作技能，确保正确处理安全相关事务。</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35</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1"/>
              </w:rPr>
              <w:t>根据业务需求，针对企业申报端完善、维护系统内部接口和外部接口</w:t>
            </w:r>
            <w:r>
              <w:rPr>
                <w:rFonts w:hint="eastAsia"/>
                <w:spacing w:val="-2"/>
              </w:rPr>
              <w:t>，做好相应的联调测试，及时处理联调过程出现的各类问题。具体包括：</w:t>
            </w:r>
          </w:p>
          <w:p>
            <w:pPr>
              <w:pStyle w:val="19"/>
              <w:spacing w:line="240" w:lineRule="auto"/>
              <w:ind w:firstLine="0"/>
              <w:jc w:val="left"/>
              <w:rPr>
                <w:spacing w:val="-2"/>
              </w:rPr>
            </w:pPr>
            <w:r>
              <w:rPr>
                <w:rFonts w:hint="eastAsia"/>
                <w:spacing w:val="-2"/>
              </w:rPr>
              <w:t>1.一年提供4次以上数据交互接口性能评估，确保其在高并发情况下的稳定性和响应速度，满足企业申报端在高峰时段的使用需求。</w:t>
            </w:r>
          </w:p>
          <w:p>
            <w:pPr>
              <w:pStyle w:val="19"/>
              <w:spacing w:line="240" w:lineRule="auto"/>
              <w:ind w:firstLine="0"/>
              <w:jc w:val="left"/>
              <w:rPr>
                <w:spacing w:val="-1"/>
              </w:rPr>
            </w:pPr>
            <w:r>
              <w:rPr>
                <w:rFonts w:hint="eastAsia"/>
                <w:spacing w:val="-1"/>
              </w:rPr>
              <w:t>2.根据</w:t>
            </w:r>
            <w:r>
              <w:rPr>
                <w:rFonts w:hint="eastAsia"/>
                <w:spacing w:val="-2"/>
              </w:rPr>
              <w:t>一年4次以上的评估结果，结合管理要求，制定、执行数据交互接口的更新维护计划，以适应企业申报端的不断更新和业务需求的变化。</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36</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根据业务需求，配合做好企业申报端系统的维护配置、系统管理等工作。具体包括：</w:t>
            </w:r>
          </w:p>
          <w:p>
            <w:pPr>
              <w:pStyle w:val="19"/>
              <w:spacing w:line="240" w:lineRule="auto"/>
              <w:ind w:firstLine="0"/>
              <w:jc w:val="left"/>
              <w:rPr>
                <w:spacing w:val="-2"/>
              </w:rPr>
            </w:pPr>
            <w:r>
              <w:rPr>
                <w:rFonts w:hint="eastAsia"/>
                <w:spacing w:val="-2"/>
              </w:rPr>
              <w:t>1.一年提供4次以上对企业申报端系统的维护配置工作，以适应政策法规的变动和市场环境的变化。</w:t>
            </w:r>
          </w:p>
          <w:p>
            <w:pPr>
              <w:pStyle w:val="19"/>
              <w:spacing w:line="240" w:lineRule="auto"/>
              <w:ind w:firstLine="0"/>
              <w:jc w:val="left"/>
              <w:rPr>
                <w:spacing w:val="-5"/>
              </w:rPr>
            </w:pPr>
            <w:r>
              <w:rPr>
                <w:rFonts w:hint="eastAsia"/>
                <w:spacing w:val="-2"/>
              </w:rPr>
              <w:t>2.一年提供12次以上对企申报端的技术支持和咨询服务，协助企业快速解决使用过程中遇到的问题。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37</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spacing w:line="240" w:lineRule="auto"/>
              <w:ind w:firstLine="0"/>
              <w:jc w:val="center"/>
              <w:rPr>
                <w:rFonts w:ascii="宋体" w:hAnsi="宋体" w:cs="宋体"/>
                <w:spacing w:val="-3"/>
              </w:rPr>
            </w:pPr>
            <w:r>
              <w:rPr>
                <w:rFonts w:ascii="宋体" w:hAnsi="宋体" w:cs="宋体" w:hint="eastAsia"/>
                <w:spacing w:val="-3"/>
              </w:rPr>
              <w:t>▲</w:t>
            </w:r>
          </w:p>
        </w:tc>
        <w:tc>
          <w:tcPr>
            <w:tcW w:w="1049" w:type="dxa"/>
            <w:vMerge w:val="restart"/>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rPr>
                <w:rFonts w:ascii="宋体" w:hAnsi="宋体" w:cs="宋体"/>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p>
          <w:p>
            <w:pPr>
              <w:pStyle w:val="19"/>
              <w:spacing w:line="240" w:lineRule="auto"/>
              <w:ind w:firstLine="0"/>
              <w:jc w:val="center"/>
              <w:rPr>
                <w:spacing w:val="-3"/>
              </w:rPr>
            </w:pPr>
            <w:r>
              <w:rPr>
                <w:rFonts w:hint="eastAsia"/>
                <w:spacing w:val="-3"/>
              </w:rPr>
              <w:t>食品安全子系统(深圳海关)进口食品追溯与风险预警应用变更及技术支持服务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做好食品安全子系统(深圳海关)进口食品追溯与风险预警应用企业申报端(以下简称“企业申报端”)及相关功能的技术保障工作，及时处理因数据传输异常等原因出现数据非正常显示或丢失的各类异常，保障系统的稳定运行。具体包括：</w:t>
            </w:r>
          </w:p>
          <w:p>
            <w:pPr>
              <w:pStyle w:val="97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1.系统检查和维护：一年提供6次以上的系统检查，包括硬件、软件、网络连接和配置设置，以确保企业申报端的数据传输顺畅和系统稳定。</w:t>
            </w:r>
          </w:p>
          <w:p>
            <w:pPr>
              <w:pStyle w:val="97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2.预防性维护：在每次检查后执行必要的预防性维护工作，包括更新、打补丁和优化，以减少系统故障和数据传输问题。</w:t>
            </w:r>
          </w:p>
          <w:p>
            <w:pPr>
              <w:pStyle w:val="97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3.技术支持服务：提供7*24小时技术支持，确保企业申报端在遇到技术问题时能够迅速得到响应和解决。</w:t>
            </w:r>
          </w:p>
          <w:p>
            <w:pPr>
              <w:pStyle w:val="9710"/>
              <w:jc w:val="left"/>
              <w:rPr>
                <w:spacing w:val="-2"/>
                <w:kern w:val="0"/>
              </w:rPr>
            </w:pPr>
            <w:r>
              <w:rPr>
                <w:rFonts w:ascii="Calibri" w:eastAsia="Calibri" w:hAnsi="Calibri" w:cs="Calibri" w:hint="eastAsia"/>
                <w:spacing w:val="-2"/>
                <w:kern w:val="0"/>
                <w:sz w:val="24"/>
                <w:szCs w:val="24"/>
              </w:rPr>
              <w:t>4.数据监控和风险预防：一年提供12次以上数据排查和确认，监控数据的完整性和准确性，防止数据丢失或未及时显示。</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p>
            <w:pPr>
              <w:pStyle w:val="180"/>
            </w:pP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38</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根据要求，做好企业申报端系统应用的更新部署、配置、调试工作，及时处理部署、调试过程中出现的各类问题，保障更新部署工作的高效稳定，及时为关联系统提供支持。具体包括：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2.一年提供4次以上系统功能改进评估，并根据评估结果制定和执行更新部署计划，以适应业务需求和技术要求的变化。</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39</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及时配合处理企业申报端使用时出现的各类问题，保障企业的正常操作使用。具体包括：</w:t>
            </w:r>
          </w:p>
          <w:p>
            <w:pPr>
              <w:pStyle w:val="19"/>
              <w:spacing w:line="240" w:lineRule="auto"/>
              <w:ind w:firstLine="0"/>
              <w:jc w:val="left"/>
              <w:rPr>
                <w:color w:val="FF0000"/>
                <w:spacing w:val="-1"/>
              </w:rPr>
            </w:pPr>
            <w:r>
              <w:rPr>
                <w:rFonts w:hint="eastAsia"/>
                <w:spacing w:val="-2"/>
              </w:rPr>
              <w:t>问题定期收集和解决：完善问题反馈机制，一年至少6次以上收集用户在使用企业申报端过程中的问题，对收集到的问题进行及时分析和解决，提升用户满意度。</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40</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41</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根据业务需求，及时针对企业平台客户端进行调整、优化各类操作及功能，配合调整、优化之后的联调测试工作。具体包括：</w:t>
            </w:r>
          </w:p>
          <w:p>
            <w:pPr>
              <w:pStyle w:val="19"/>
              <w:tabs>
                <w:tab w:val="left" w:pos="312"/>
              </w:tabs>
              <w:spacing w:line="240" w:lineRule="auto"/>
              <w:ind w:firstLine="0"/>
              <w:jc w:val="left"/>
              <w:rPr>
                <w:spacing w:val="-2"/>
              </w:rPr>
            </w:pPr>
            <w:r>
              <w:rPr>
                <w:rFonts w:hint="eastAsia"/>
                <w:spacing w:val="-2"/>
              </w:rPr>
              <w:t>1.一年至少开展4次企业平台客户端的更新联调测试，确保每次更新后系统能够稳定运行。</w:t>
            </w:r>
          </w:p>
          <w:p>
            <w:pPr>
              <w:pStyle w:val="19"/>
              <w:spacing w:line="240" w:lineRule="auto"/>
              <w:ind w:firstLine="0"/>
              <w:jc w:val="left"/>
              <w:rPr>
                <w:color w:val="FF0000"/>
                <w:spacing w:val="-1"/>
              </w:rPr>
            </w:pPr>
            <w:r>
              <w:rPr>
                <w:rFonts w:hint="eastAsia"/>
                <w:spacing w:val="-2"/>
              </w:rPr>
              <w:t>2.一年至少进行4次企业平台客户端更新优化的必要性评估，基于业务需求变化、技术发展和用户反馈评价。根据评估结果实施优化，保障系统平稳运行。</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42</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w:t>
            </w:r>
            <w:r>
              <w:rPr>
                <w:rFonts w:hint="eastAsia"/>
              </w:rPr>
              <w:t>系统进行安全加固，消除安全隐患，为企业端申报系</w:t>
            </w:r>
            <w:r>
              <w:rPr>
                <w:rFonts w:hint="eastAsia"/>
                <w:spacing w:val="-2"/>
              </w:rPr>
              <w:t>统安全稳定提供技术保障工作。具体包括：</w:t>
            </w:r>
          </w:p>
          <w:p>
            <w:pPr>
              <w:pStyle w:val="19"/>
              <w:spacing w:line="240" w:lineRule="auto"/>
              <w:ind w:firstLine="0"/>
              <w:jc w:val="left"/>
              <w:rPr>
                <w:spacing w:val="-2"/>
              </w:rPr>
            </w:pPr>
            <w:r>
              <w:rPr>
                <w:rFonts w:hint="eastAsia"/>
                <w:spacing w:val="-2"/>
              </w:rPr>
              <w:t>1.一年提供4次以上系统安全检查，确保所有安全措施符合最新的行业标准和法规要求。</w:t>
            </w:r>
          </w:p>
          <w:p>
            <w:pPr>
              <w:pStyle w:val="19"/>
              <w:spacing w:line="240" w:lineRule="auto"/>
              <w:ind w:firstLine="0"/>
              <w:jc w:val="left"/>
              <w:rPr>
                <w:spacing w:val="-2"/>
              </w:rPr>
            </w:pPr>
            <w:r>
              <w:rPr>
                <w:rFonts w:hint="eastAsia"/>
                <w:spacing w:val="-2"/>
              </w:rPr>
              <w:t>2.一年提供4次以上安全加固评估，并根据评估结果制定和执行安全加固计划，防止潜在网络攻击和数据泄露。</w:t>
            </w:r>
          </w:p>
          <w:p>
            <w:pPr>
              <w:pStyle w:val="19"/>
              <w:spacing w:line="240" w:lineRule="auto"/>
              <w:ind w:firstLine="0"/>
              <w:jc w:val="left"/>
              <w:rPr>
                <w:spacing w:val="-2"/>
              </w:rPr>
            </w:pPr>
            <w:r>
              <w:rPr>
                <w:rFonts w:hint="eastAsia"/>
                <w:spacing w:val="-2"/>
              </w:rPr>
              <w:t>3.一年提供4次以上紧急响应机制检查，以最小化安全事件的影响。</w:t>
            </w:r>
          </w:p>
          <w:p>
            <w:pPr>
              <w:pStyle w:val="19"/>
              <w:spacing w:line="240" w:lineRule="auto"/>
              <w:ind w:firstLine="0"/>
              <w:jc w:val="left"/>
              <w:rPr>
                <w:spacing w:val="-2"/>
              </w:rPr>
            </w:pPr>
            <w:r>
              <w:rPr>
                <w:rFonts w:hint="eastAsia"/>
                <w:spacing w:val="-2"/>
              </w:rPr>
              <w:t>4.</w:t>
            </w:r>
            <w:r>
              <w:rPr>
                <w:rFonts w:hint="eastAsia"/>
              </w:rPr>
              <w:t xml:space="preserve"> </w:t>
            </w:r>
            <w:r>
              <w:rPr>
                <w:rFonts w:hint="eastAsia"/>
                <w:spacing w:val="-2"/>
              </w:rPr>
              <w:t>一年提供4次以上安全加固技能提升指导，增强运维人员的安全意识和操作技能，确保正确处理安全相关事务。</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43</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1"/>
              </w:rPr>
              <w:t>根据业务需求，针对企业申报端完善、维护系统内部接口和外部接口</w:t>
            </w:r>
            <w:r>
              <w:rPr>
                <w:rFonts w:hint="eastAsia"/>
                <w:spacing w:val="-2"/>
              </w:rPr>
              <w:t>，做好相应的联调测试，及时处理联调过程出现的各类问题。具体包括：</w:t>
            </w:r>
          </w:p>
          <w:p>
            <w:pPr>
              <w:pStyle w:val="19"/>
              <w:spacing w:line="240" w:lineRule="auto"/>
              <w:ind w:firstLine="0"/>
              <w:jc w:val="left"/>
              <w:rPr>
                <w:spacing w:val="-2"/>
              </w:rPr>
            </w:pPr>
            <w:r>
              <w:rPr>
                <w:rFonts w:hint="eastAsia"/>
                <w:spacing w:val="-2"/>
              </w:rPr>
              <w:t>1.一年提供4次以上数据交互接口性能评估，确保其在高并发情况下的稳定性和响应速度，满足企业申报端在高峰时段的使用需求。</w:t>
            </w:r>
          </w:p>
          <w:p>
            <w:pPr>
              <w:pStyle w:val="19"/>
              <w:spacing w:line="240" w:lineRule="auto"/>
              <w:ind w:firstLine="0"/>
              <w:jc w:val="left"/>
              <w:rPr>
                <w:spacing w:val="-1"/>
              </w:rPr>
            </w:pPr>
            <w:r>
              <w:rPr>
                <w:rFonts w:hint="eastAsia"/>
                <w:spacing w:val="-1"/>
              </w:rPr>
              <w:t>2.根据</w:t>
            </w:r>
            <w:r>
              <w:rPr>
                <w:rFonts w:hint="eastAsia"/>
                <w:spacing w:val="-2"/>
              </w:rPr>
              <w:t>一年4次以上的评估结果，结合管理要求，制定、执行数据交互接口的更新维护计划，以适应企业申报端的不断更新和业务需求的变化。</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44</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pacing w:val="-3"/>
                <w:szCs w:val="21"/>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根据业务需求，配合做好企业申报端系统的维护配置、系统管理等工作。具体包括：</w:t>
            </w:r>
          </w:p>
          <w:p>
            <w:pPr>
              <w:pStyle w:val="19"/>
              <w:spacing w:line="240" w:lineRule="auto"/>
              <w:ind w:firstLine="0"/>
              <w:jc w:val="left"/>
              <w:rPr>
                <w:spacing w:val="-2"/>
              </w:rPr>
            </w:pPr>
            <w:r>
              <w:rPr>
                <w:rFonts w:hint="eastAsia"/>
                <w:spacing w:val="-2"/>
              </w:rPr>
              <w:t>1.一年提供4次以上对企业申报端系统的维护配置工作，以适应政策法规的变动和市场环境的变化。</w:t>
            </w:r>
          </w:p>
          <w:p>
            <w:pPr>
              <w:pStyle w:val="19"/>
              <w:spacing w:line="240" w:lineRule="auto"/>
              <w:ind w:firstLine="0"/>
              <w:jc w:val="left"/>
              <w:rPr>
                <w:spacing w:val="-5"/>
              </w:rPr>
            </w:pPr>
            <w:r>
              <w:rPr>
                <w:rFonts w:hint="eastAsia"/>
                <w:spacing w:val="-2"/>
              </w:rPr>
              <w:t>2.一年提供12次以上对企申报端的技术支持和咨询服务，协助企业快速解决使用过程中遇到的问题。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45</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spacing w:line="240" w:lineRule="auto"/>
              <w:ind w:firstLine="0"/>
              <w:jc w:val="center"/>
              <w:rPr>
                <w:spacing w:val="-3"/>
              </w:rPr>
            </w:pPr>
            <w:r>
              <w:rPr>
                <w:rFonts w:hint="eastAsia"/>
                <w:spacing w:val="-3"/>
              </w:rPr>
              <w:t>▲</w:t>
            </w:r>
          </w:p>
        </w:tc>
        <w:tc>
          <w:tcPr>
            <w:tcW w:w="1049" w:type="dxa"/>
            <w:vMerge w:val="restart"/>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spacing w:line="240" w:lineRule="auto"/>
              <w:ind w:firstLine="0"/>
              <w:jc w:val="center"/>
              <w:rPr>
                <w:sz w:val="23"/>
                <w:szCs w:val="23"/>
              </w:rPr>
            </w:pPr>
            <w:r>
              <w:rPr>
                <w:rFonts w:hint="eastAsia"/>
                <w:spacing w:val="-3"/>
              </w:rPr>
              <w:t>技术性贸易措施(技术规范)管理子系统(深圳海关)进口食品技术贸易措施研究中心网站变更及技术支持服务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spacing w:val="-2"/>
              </w:rPr>
            </w:pPr>
            <w:r>
              <w:rPr>
                <w:rFonts w:hint="eastAsia"/>
                <w:spacing w:val="-2"/>
              </w:rPr>
              <w:t>做好</w:t>
            </w:r>
            <w:r>
              <w:rPr>
                <w:rFonts w:hint="eastAsia"/>
                <w:spacing w:val="-3"/>
              </w:rPr>
              <w:t>技术性贸易措施(技术规范)管理子系统(深圳海关)进口食品技术贸易措施研究中心网站</w:t>
            </w:r>
            <w:r>
              <w:rPr>
                <w:rFonts w:hint="eastAsia"/>
                <w:spacing w:val="-2"/>
              </w:rPr>
              <w:t xml:space="preserve"> (以下简称“网站”)及相关功能的技术保障工作，及时处理因数据传输异常等原因出现数据非正常显示或丢失的各类异常，保障系统的稳定运行。具体包括：</w:t>
            </w:r>
          </w:p>
          <w:p>
            <w:pPr>
              <w:pStyle w:val="98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1.系统检查和维护：一年提供6次以上的系统检查，包括硬件、软件、网络连接和配置设置，以确保企业申报端的数据传输顺畅和系统稳定。</w:t>
            </w:r>
          </w:p>
          <w:p>
            <w:pPr>
              <w:pStyle w:val="98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2.预防性维护：在每次检查后执行必要的预防性维护工作，包括更新、打补丁和优化，以减少系统故障和数据传输问题。</w:t>
            </w:r>
          </w:p>
          <w:p>
            <w:pPr>
              <w:pStyle w:val="98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3.技术支持服务：提供7*24小时技术支持，确保企业申报端在遇到技术问题时能够迅速得到响应和解决。</w:t>
            </w:r>
          </w:p>
          <w:p>
            <w:pPr>
              <w:pStyle w:val="9810"/>
              <w:jc w:val="left"/>
              <w:rPr>
                <w:spacing w:val="-1"/>
                <w:kern w:val="0"/>
                <w:sz w:val="23"/>
                <w:szCs w:val="23"/>
              </w:rPr>
            </w:pPr>
            <w:r>
              <w:rPr>
                <w:rFonts w:ascii="Calibri" w:eastAsia="Calibri" w:hAnsi="Calibri" w:cs="Calibri" w:hint="eastAsia"/>
                <w:spacing w:val="-2"/>
                <w:kern w:val="0"/>
                <w:sz w:val="24"/>
                <w:szCs w:val="24"/>
              </w:rPr>
              <w:t>4.数据监控和风险预防：一年提供12次以上数据排查和确认，监控数据的完整性和准确性，防止数据丢失或未及时显示。</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46</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z w:val="23"/>
                <w:szCs w:val="23"/>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根据要求，做好网站的更新部署、配置、调试工作，及时处理部署、调试过程中出现的各类问题，保障更新部署工作的高效稳定，及时为关联系统提供支持。具体包括：</w:t>
            </w:r>
          </w:p>
          <w:p>
            <w:pPr>
              <w:pStyle w:val="19"/>
              <w:spacing w:line="240" w:lineRule="auto"/>
              <w:ind w:firstLine="0"/>
              <w:jc w:val="left"/>
              <w:rPr>
                <w:spacing w:val="-2"/>
              </w:rPr>
            </w:pPr>
            <w:r>
              <w:rPr>
                <w:rFonts w:hint="eastAsia"/>
                <w:spacing w:val="-2"/>
              </w:rPr>
              <w:t>1.一年提供4次以上系统性能监测评估，确保在各类负载情况下仍能保持高效运行。</w:t>
            </w:r>
          </w:p>
          <w:p>
            <w:pPr>
              <w:pStyle w:val="19"/>
              <w:spacing w:line="240" w:lineRule="auto"/>
              <w:ind w:firstLine="0"/>
              <w:jc w:val="left"/>
              <w:rPr>
                <w:spacing w:val="-2"/>
              </w:rPr>
            </w:pPr>
            <w:r>
              <w:rPr>
                <w:rFonts w:hint="eastAsia"/>
                <w:spacing w:val="-2"/>
              </w:rPr>
              <w:t>2.一年提供4次以上系统安全加固，防止潜在的网络攻击和数据泄露风险。</w:t>
            </w:r>
          </w:p>
          <w:p>
            <w:pPr>
              <w:pStyle w:val="19"/>
              <w:spacing w:line="240" w:lineRule="auto"/>
              <w:ind w:firstLine="0"/>
              <w:jc w:val="left"/>
              <w:rPr>
                <w:spacing w:val="-1"/>
              </w:rPr>
            </w:pPr>
            <w:r>
              <w:rPr>
                <w:rFonts w:hint="eastAsia"/>
                <w:spacing w:val="-2"/>
              </w:rPr>
              <w:t>3.一年提供4次以上详细系统操作文档和故障排除指南更新，方便用户自助解决问题。</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41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47</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z w:val="23"/>
                <w:szCs w:val="23"/>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按照要求开展相关业务数据统计查询的技术支持及数据分析工</w:t>
            </w:r>
            <w:r>
              <w:rPr>
                <w:rFonts w:hint="eastAsia"/>
                <w:spacing w:val="-3"/>
              </w:rPr>
              <w:t>作，配</w:t>
            </w:r>
            <w:r>
              <w:rPr>
                <w:rFonts w:hint="eastAsia"/>
              </w:rPr>
              <w:t>合完成电子口岸专网企业端申报系统各类专项工作的数据分析</w:t>
            </w:r>
            <w:r>
              <w:rPr>
                <w:rFonts w:hint="eastAsia"/>
                <w:spacing w:val="-2"/>
              </w:rPr>
              <w:t>工作。具体包括：</w:t>
            </w:r>
          </w:p>
          <w:p>
            <w:pPr>
              <w:pStyle w:val="19"/>
              <w:spacing w:line="240" w:lineRule="auto"/>
              <w:ind w:firstLine="0"/>
              <w:jc w:val="left"/>
              <w:rPr>
                <w:spacing w:val="-2"/>
              </w:rPr>
            </w:pPr>
            <w:r>
              <w:rPr>
                <w:rFonts w:hint="eastAsia"/>
                <w:spacing w:val="-2"/>
              </w:rPr>
              <w:t>1.一年提供4次以上数据分析支持工作，确保数据的准确性和时效性，以支持业务流程的流畅。</w:t>
            </w:r>
          </w:p>
          <w:p>
            <w:pPr>
              <w:pStyle w:val="19"/>
              <w:spacing w:line="240" w:lineRule="auto"/>
              <w:ind w:firstLine="0"/>
              <w:jc w:val="left"/>
              <w:rPr>
                <w:spacing w:val="-2"/>
              </w:rPr>
            </w:pPr>
            <w:r>
              <w:rPr>
                <w:rFonts w:hint="eastAsia"/>
                <w:spacing w:val="-2"/>
              </w:rPr>
              <w:t>2.一年提供4次以上对电子口岸专网企业端的统计类功能优化评估，并根据评估结果和管理要求实施优化，确保系统能够适应不断变化的业务需求和技术标准。</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48</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z w:val="23"/>
                <w:szCs w:val="23"/>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按要求做好系统安全防护工作，根据安全防护需求对系统进行安全加固，消除安全隐患，为网站安全稳定提供技术保障工作。具体包括：</w:t>
            </w:r>
          </w:p>
          <w:p>
            <w:pPr>
              <w:pStyle w:val="19"/>
              <w:spacing w:line="240" w:lineRule="auto"/>
              <w:ind w:firstLine="0"/>
              <w:jc w:val="left"/>
              <w:rPr>
                <w:spacing w:val="-2"/>
              </w:rPr>
            </w:pPr>
            <w:r>
              <w:rPr>
                <w:rFonts w:hint="eastAsia"/>
                <w:spacing w:val="-2"/>
              </w:rPr>
              <w:t>1.一年提供4次以上系统安全检查，确保所有安全措施符合最新的行业标准和法规要求。</w:t>
            </w:r>
          </w:p>
          <w:p>
            <w:pPr>
              <w:pStyle w:val="19"/>
              <w:spacing w:line="240" w:lineRule="auto"/>
              <w:ind w:firstLine="0"/>
              <w:jc w:val="left"/>
              <w:rPr>
                <w:spacing w:val="-2"/>
              </w:rPr>
            </w:pPr>
            <w:r>
              <w:rPr>
                <w:rFonts w:hint="eastAsia"/>
                <w:spacing w:val="-2"/>
              </w:rPr>
              <w:t>2.一年提供4次以上紧急响应机制检查，以最小化安全事件的影响。</w:t>
            </w:r>
          </w:p>
          <w:p>
            <w:pPr>
              <w:pStyle w:val="19"/>
              <w:spacing w:line="240" w:lineRule="auto"/>
              <w:ind w:firstLine="0"/>
              <w:jc w:val="left"/>
              <w:rPr>
                <w:spacing w:val="-2"/>
              </w:rPr>
            </w:pPr>
            <w:r>
              <w:rPr>
                <w:rFonts w:hint="eastAsia"/>
                <w:spacing w:val="-2"/>
              </w:rPr>
              <w:t>3.</w:t>
            </w:r>
            <w:r>
              <w:rPr>
                <w:rFonts w:hint="eastAsia"/>
              </w:rPr>
              <w:t xml:space="preserve"> </w:t>
            </w:r>
            <w:r>
              <w:rPr>
                <w:rFonts w:hint="eastAsia"/>
                <w:spacing w:val="-2"/>
              </w:rPr>
              <w:t>一年提供4次以上安全加固技能提升指导，增强运维人员的安全意识和操作技能，确保正确处理安全相关事务。</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49</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z w:val="23"/>
                <w:szCs w:val="23"/>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根据业务需求，针对网站完善、维护系统内部接口和外部接口，做好相应的联调测试，及时处理联调过程出现的各类问题。具体包括：</w:t>
            </w:r>
          </w:p>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1.一年提供4次以上数据交互接口的更新维护，以适应企业申报端的不断更新和业务需求的变化。</w:t>
            </w:r>
          </w:p>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2.一年提供4次以上数据交互接口进行性能评估和优化，确保其在高并发情况下的稳定性和响应速度，满足企业申报端在高峰时段的使用需求。</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50</w:t>
            </w:r>
          </w:p>
        </w:tc>
        <w:tc>
          <w:tcPr>
            <w:tcW w:w="1049" w:type="dxa"/>
            <w:tcBorders>
              <w:top w:val="single" w:sz="4" w:space="0" w:color="auto"/>
              <w:left w:val="single" w:sz="4" w:space="0" w:color="auto"/>
              <w:bottom w:val="single" w:sz="4" w:space="0" w:color="auto"/>
              <w:right w:val="single" w:sz="4" w:space="0" w:color="auto"/>
              <w:tl2br w:val="nil"/>
              <w:tr2bl w:val="nil"/>
            </w:tcBorders>
          </w:tcPr>
          <w:p>
            <w:pPr>
              <w:pStyle w:val="19"/>
              <w:widowControl/>
              <w:spacing w:line="240" w:lineRule="auto"/>
              <w:ind w:firstLine="0"/>
              <w:jc w:val="center"/>
              <w:rPr>
                <w:rFonts w:ascii="宋体" w:hAnsi="宋体" w:cs="宋体"/>
                <w:color w:val="000000"/>
                <w:sz w:val="23"/>
                <w:szCs w:val="23"/>
              </w:rPr>
            </w:pPr>
          </w:p>
        </w:tc>
        <w:tc>
          <w:tcPr>
            <w:tcW w:w="1049"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left"/>
              <w:rPr>
                <w:rFonts w:ascii="宋体" w:hAnsi="宋体" w:cs="宋体"/>
                <w:spacing w:val="-2"/>
              </w:rPr>
            </w:pPr>
            <w:r>
              <w:rPr>
                <w:rFonts w:hint="eastAsia"/>
                <w:spacing w:val="-2"/>
              </w:rPr>
              <w:t>根据业务需求，配合做好网站的维护配置、数据传输、系统管理等工作。</w:t>
            </w:r>
          </w:p>
          <w:p>
            <w:pPr>
              <w:pStyle w:val="19"/>
              <w:spacing w:line="240" w:lineRule="auto"/>
              <w:ind w:firstLine="0"/>
              <w:jc w:val="left"/>
              <w:rPr>
                <w:spacing w:val="-5"/>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51</w:t>
            </w:r>
          </w:p>
        </w:tc>
        <w:tc>
          <w:tcPr>
            <w:tcW w:w="1049" w:type="dxa"/>
            <w:tcBorders>
              <w:top w:val="single" w:sz="4" w:space="0" w:color="000000"/>
              <w:left w:val="single" w:sz="4" w:space="0" w:color="auto"/>
              <w:bottom w:val="single" w:sz="4" w:space="0" w:color="000000"/>
              <w:right w:val="single" w:sz="4" w:space="0" w:color="auto"/>
              <w:tl2br w:val="nil"/>
              <w:tr2bl w:val="nil"/>
            </w:tcBorders>
          </w:tcPr>
          <w:p>
            <w:pPr>
              <w:pStyle w:val="19"/>
              <w:autoSpaceDN w:val="0"/>
              <w:spacing w:line="240" w:lineRule="auto"/>
              <w:ind w:firstLine="0"/>
              <w:jc w:val="center"/>
              <w:rPr>
                <w:rFonts w:ascii="宋体" w:hAnsi="宋体" w:cs="宋体"/>
                <w:snapToGrid w:val="0"/>
                <w:color w:val="000000"/>
                <w:spacing w:val="-2"/>
                <w:szCs w:val="21"/>
              </w:rPr>
            </w:pPr>
            <w:r>
              <w:rPr>
                <w:rFonts w:ascii="宋体" w:hAnsi="宋体" w:cs="宋体" w:hint="eastAsia"/>
                <w:snapToGrid w:val="0"/>
                <w:color w:val="000000"/>
                <w:spacing w:val="-2"/>
                <w:szCs w:val="21"/>
              </w:rPr>
              <w:t>▲</w:t>
            </w:r>
          </w:p>
        </w:tc>
        <w:tc>
          <w:tcPr>
            <w:tcW w:w="1049" w:type="dxa"/>
            <w:tcBorders>
              <w:top w:val="single" w:sz="4" w:space="0" w:color="000000"/>
              <w:left w:val="single" w:sz="4" w:space="0" w:color="auto"/>
              <w:bottom w:val="single" w:sz="4" w:space="0" w:color="000000"/>
              <w:right w:val="single" w:sz="4" w:space="0" w:color="auto"/>
              <w:tl2br w:val="nil"/>
              <w:tr2bl w:val="nil"/>
            </w:tcBorders>
            <w:shd w:val="clear" w:color="auto" w:fill="auto"/>
          </w:tcPr>
          <w:p>
            <w:pPr>
              <w:pStyle w:val="19"/>
              <w:autoSpaceDN w:val="0"/>
              <w:spacing w:line="240" w:lineRule="auto"/>
              <w:ind w:firstLine="0"/>
              <w:jc w:val="center"/>
              <w:rPr>
                <w:rFonts w:ascii="宋体" w:hAnsi="宋体" w:cs="宋体"/>
                <w:snapToGrid w:val="0"/>
                <w:color w:val="000000"/>
                <w:spacing w:val="-2"/>
                <w:szCs w:val="21"/>
              </w:rPr>
            </w:pPr>
            <w:r>
              <w:rPr>
                <w:rFonts w:ascii="宋体" w:hAnsi="宋体" w:cs="宋体" w:hint="eastAsia"/>
                <w:snapToGrid w:val="0"/>
                <w:color w:val="000000"/>
                <w:spacing w:val="-2"/>
                <w:szCs w:val="21"/>
              </w:rPr>
              <w:t>广东省数据资源一网共享平台深圳市分节点（深圳海关）技术支持服务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该系统为深圳海关与深圳市其他政府单位的数据资源共享平台，实现深圳海关数据与深圳市其他政府单位的数据同步。具体支持服务包括：</w:t>
            </w:r>
          </w:p>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1.一年提供12次以上系统应用服务、数据库等关联软件的稳定性、可用性检查。</w:t>
            </w:r>
          </w:p>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2.一年提供4次以上系统安全加固，防止潜在的网络攻击和数据泄露风险。</w:t>
            </w:r>
          </w:p>
          <w:p>
            <w:pPr>
              <w:pStyle w:val="19"/>
              <w:autoSpaceDN w:val="0"/>
              <w:spacing w:line="240" w:lineRule="auto"/>
              <w:ind w:firstLine="0"/>
              <w:jc w:val="left"/>
              <w:rPr>
                <w:rFonts w:ascii="宋体" w:hAnsi="宋体" w:cs="宋体"/>
                <w:snapToGrid w:val="0"/>
                <w:color w:val="000000"/>
                <w:spacing w:val="-2"/>
                <w:szCs w:val="21"/>
              </w:rPr>
            </w:pPr>
            <w:r>
              <w:rPr>
                <w:rFonts w:ascii="宋体" w:hAnsi="宋体" w:cs="宋体" w:hint="eastAsia"/>
                <w:snapToGrid w:val="0"/>
                <w:color w:val="000000"/>
                <w:spacing w:val="-2"/>
                <w:szCs w:val="21"/>
              </w:rPr>
              <w:t>3.技术支持服务：提供7*24小时技术支持，确保系统在遇到技术问题时能够迅速得到响应和解决。</w:t>
            </w:r>
          </w:p>
          <w:p>
            <w:pPr>
              <w:pStyle w:val="19"/>
              <w:autoSpaceDN w:val="0"/>
              <w:spacing w:line="240" w:lineRule="auto"/>
              <w:ind w:firstLine="0"/>
              <w:jc w:val="left"/>
              <w:rPr>
                <w:rFonts w:ascii="宋体" w:hAnsi="宋体" w:cs="宋体"/>
                <w:snapToGrid w:val="0"/>
                <w:color w:val="000000"/>
                <w:spacing w:val="-2"/>
                <w:szCs w:val="21"/>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t>是，提供承诺函</w:t>
            </w:r>
          </w:p>
        </w:tc>
      </w:tr>
      <w:tr>
        <w:tblPrEx>
          <w:tblW w:w="8573" w:type="dxa"/>
          <w:jc w:val="left"/>
          <w:tblInd w:w="5" w:type="dxa"/>
          <w:tblLayout w:type="fixed"/>
          <w:tblCellMar>
            <w:top w:w="0" w:type="dxa"/>
            <w:left w:w="0" w:type="dxa"/>
            <w:bottom w:w="0" w:type="dxa"/>
            <w:right w:w="0" w:type="dxa"/>
          </w:tblCellMar>
        </w:tblPrEx>
        <w:trPr>
          <w:trHeight w:val="873"/>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52</w:t>
            </w:r>
          </w:p>
        </w:tc>
        <w:tc>
          <w:tcPr>
            <w:tcW w:w="1049" w:type="dxa"/>
            <w:tcBorders>
              <w:top w:val="single" w:sz="4" w:space="0" w:color="000000"/>
              <w:left w:val="single" w:sz="4" w:space="0" w:color="auto"/>
              <w:bottom w:val="single" w:sz="4" w:space="0" w:color="000000"/>
              <w:right w:val="single" w:sz="4" w:space="0" w:color="auto"/>
              <w:tl2br w:val="nil"/>
              <w:tr2bl w:val="nil"/>
            </w:tcBorders>
          </w:tcPr>
          <w:p>
            <w:pPr>
              <w:pStyle w:val="19"/>
              <w:autoSpaceDN w:val="0"/>
              <w:spacing w:line="240" w:lineRule="auto"/>
              <w:ind w:firstLine="0"/>
              <w:jc w:val="center"/>
              <w:rPr>
                <w:rFonts w:ascii="宋体" w:hAnsi="宋体" w:cs="宋体"/>
                <w:snapToGrid w:val="0"/>
                <w:color w:val="000000"/>
                <w:spacing w:val="-2"/>
                <w:szCs w:val="21"/>
              </w:rPr>
            </w:pPr>
          </w:p>
        </w:tc>
        <w:tc>
          <w:tcPr>
            <w:tcW w:w="1049" w:type="dxa"/>
            <w:tcBorders>
              <w:top w:val="single" w:sz="4" w:space="0" w:color="000000"/>
              <w:left w:val="single" w:sz="4" w:space="0" w:color="auto"/>
              <w:bottom w:val="single" w:sz="4" w:space="0" w:color="000000"/>
              <w:right w:val="single" w:sz="4" w:space="0" w:color="auto"/>
              <w:tl2br w:val="nil"/>
              <w:tr2bl w:val="nil"/>
            </w:tcBorders>
            <w:shd w:val="clear" w:color="auto" w:fill="auto"/>
          </w:tcPr>
          <w:p>
            <w:pPr>
              <w:pStyle w:val="19"/>
              <w:autoSpaceDN w:val="0"/>
              <w:spacing w:line="240" w:lineRule="auto"/>
              <w:ind w:firstLine="0"/>
              <w:jc w:val="center"/>
              <w:rPr>
                <w:szCs w:val="21"/>
              </w:rPr>
            </w:pPr>
            <w:r>
              <w:rPr>
                <w:rFonts w:ascii="宋体" w:hAnsi="宋体" w:cs="宋体" w:hint="eastAsia"/>
                <w:snapToGrid w:val="0"/>
                <w:color w:val="000000"/>
                <w:spacing w:val="-2"/>
                <w:szCs w:val="21"/>
              </w:rPr>
              <w:t>进口食品签证信息抓取</w:t>
            </w:r>
            <w:r>
              <w:rPr>
                <w:rFonts w:hint="eastAsia"/>
                <w:spacing w:val="-3"/>
                <w:szCs w:val="21"/>
              </w:rPr>
              <w:t>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autoSpaceDN w:val="0"/>
              <w:spacing w:line="240" w:lineRule="auto"/>
              <w:ind w:firstLine="0"/>
              <w:jc w:val="left"/>
              <w:rPr>
                <w:spacing w:val="-2"/>
              </w:rPr>
            </w:pPr>
            <w:r>
              <w:rPr>
                <w:rFonts w:hint="eastAsia"/>
                <w:spacing w:val="-2"/>
              </w:rPr>
              <w:t>该系统实现企业报关时，通过指定编码的规则抓取相关报关单数据推送业务处室统计分析，主要是进口肉类、进口大米等进口企业的数据。具体支持服务包括：</w:t>
              <w:br/>
              <w:t>1.一年提供12次以上系统应用服务、数据库等关联软件的稳定性、可用性检查。</w:t>
            </w:r>
          </w:p>
          <w:p>
            <w:pPr>
              <w:pStyle w:val="19"/>
              <w:spacing w:line="240" w:lineRule="auto"/>
              <w:ind w:firstLine="0"/>
              <w:jc w:val="left"/>
              <w:rPr>
                <w:spacing w:val="-2"/>
              </w:rPr>
            </w:pPr>
            <w:r>
              <w:rPr>
                <w:rFonts w:hint="eastAsia"/>
                <w:spacing w:val="-2"/>
              </w:rPr>
              <w:t>2.一年提供4次以上系统安全加固，防止潜在的网络攻击和数据泄露风险。</w:t>
            </w:r>
          </w:p>
          <w:p>
            <w:pPr>
              <w:pStyle w:val="97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3.技术支持服务：提供7*24小时技术支持，确保系统在遇到技术问题时能够迅速得到响应和解决。</w:t>
            </w:r>
          </w:p>
          <w:p>
            <w:pPr>
              <w:pStyle w:val="9910"/>
              <w:widowControl/>
              <w:shd w:val="clear" w:color="auto" w:fill="FFFFFF"/>
              <w:autoSpaceDN w:val="0"/>
              <w:jc w:val="left"/>
              <w:rPr>
                <w:rFonts w:ascii="Calibri" w:eastAsia="Calibri" w:hAnsi="Calibri" w:cs="Calibri"/>
                <w:spacing w:val="-2"/>
                <w:kern w:val="0"/>
                <w:sz w:val="24"/>
                <w:szCs w:val="24"/>
              </w:rPr>
            </w:pP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否</w:t>
            </w:r>
          </w:p>
        </w:tc>
      </w:tr>
      <w:tr>
        <w:tblPrEx>
          <w:tblW w:w="8573" w:type="dxa"/>
          <w:jc w:val="left"/>
          <w:tblInd w:w="5" w:type="dxa"/>
          <w:tblLayout w:type="fixed"/>
          <w:tblCellMar>
            <w:top w:w="0" w:type="dxa"/>
            <w:left w:w="0" w:type="dxa"/>
            <w:bottom w:w="0" w:type="dxa"/>
            <w:right w:w="0" w:type="dxa"/>
          </w:tblCellMar>
        </w:tblPrEx>
        <w:trPr>
          <w:trHeight w:val="874"/>
          <w:jc w:val="left"/>
        </w:trPr>
        <w:tc>
          <w:tcPr>
            <w:tcW w:w="573"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pStyle w:val="19"/>
              <w:autoSpaceDN w:val="0"/>
              <w:spacing w:line="240" w:lineRule="auto"/>
              <w:ind w:firstLine="0"/>
              <w:jc w:val="center"/>
              <w:rPr>
                <w:rFonts w:ascii="宋体" w:hAnsi="宋体" w:cs="宋体"/>
                <w:color w:val="000000"/>
                <w:sz w:val="22"/>
                <w:szCs w:val="22"/>
              </w:rPr>
            </w:pPr>
            <w:r>
              <w:rPr>
                <w:color w:val="000000"/>
                <w:sz w:val="22"/>
                <w:szCs w:val="22"/>
              </w:rPr>
              <w:t>53</w:t>
            </w:r>
          </w:p>
        </w:tc>
        <w:tc>
          <w:tcPr>
            <w:tcW w:w="1049" w:type="dxa"/>
            <w:tcBorders>
              <w:top w:val="single" w:sz="4" w:space="0" w:color="000000"/>
              <w:left w:val="single" w:sz="4" w:space="0" w:color="auto"/>
              <w:bottom w:val="single" w:sz="4" w:space="0" w:color="000000"/>
              <w:right w:val="single" w:sz="4" w:space="0" w:color="auto"/>
              <w:tl2br w:val="nil"/>
              <w:tr2bl w:val="nil"/>
            </w:tcBorders>
          </w:tcPr>
          <w:p>
            <w:pPr>
              <w:pStyle w:val="19"/>
              <w:autoSpaceDN w:val="0"/>
              <w:spacing w:line="240" w:lineRule="auto"/>
              <w:ind w:firstLine="0"/>
              <w:jc w:val="center"/>
              <w:rPr>
                <w:rFonts w:ascii="宋体" w:hAnsi="宋体"/>
              </w:rPr>
            </w:pPr>
          </w:p>
          <w:p>
            <w:pPr>
              <w:pStyle w:val="19"/>
              <w:autoSpaceDN w:val="0"/>
              <w:spacing w:line="240" w:lineRule="auto"/>
              <w:ind w:firstLine="0"/>
              <w:jc w:val="center"/>
              <w:rPr>
                <w:rFonts w:ascii="宋体" w:hAnsi="宋体"/>
              </w:rPr>
            </w:pPr>
          </w:p>
          <w:p>
            <w:pPr>
              <w:pStyle w:val="19"/>
              <w:autoSpaceDN w:val="0"/>
              <w:spacing w:line="240" w:lineRule="auto"/>
              <w:ind w:firstLine="0"/>
              <w:jc w:val="center"/>
              <w:rPr>
                <w:rFonts w:ascii="宋体" w:hAnsi="宋体"/>
              </w:rPr>
            </w:pPr>
          </w:p>
          <w:p>
            <w:pPr>
              <w:pStyle w:val="19"/>
              <w:autoSpaceDN w:val="0"/>
              <w:spacing w:line="240" w:lineRule="auto"/>
              <w:ind w:firstLine="0"/>
              <w:jc w:val="center"/>
              <w:rPr>
                <w:rFonts w:ascii="宋体" w:hAnsi="宋体"/>
              </w:rPr>
            </w:pPr>
          </w:p>
          <w:p>
            <w:pPr>
              <w:pStyle w:val="19"/>
              <w:autoSpaceDN w:val="0"/>
              <w:spacing w:line="240" w:lineRule="auto"/>
              <w:ind w:firstLine="0"/>
              <w:jc w:val="center"/>
              <w:rPr>
                <w:rFonts w:ascii="宋体" w:hAnsi="宋体" w:cs="宋体"/>
                <w:snapToGrid w:val="0"/>
                <w:color w:val="000000"/>
                <w:spacing w:val="-2"/>
                <w:szCs w:val="21"/>
              </w:rPr>
            </w:pPr>
            <w:r>
              <w:rPr>
                <w:rFonts w:ascii="宋体" w:hAnsi="宋体" w:hint="eastAsia"/>
              </w:rPr>
              <w:t>▲</w:t>
            </w:r>
          </w:p>
        </w:tc>
        <w:tc>
          <w:tcPr>
            <w:tcW w:w="1049" w:type="dxa"/>
            <w:tcBorders>
              <w:top w:val="single" w:sz="4" w:space="0" w:color="000000"/>
              <w:left w:val="single" w:sz="4" w:space="0" w:color="auto"/>
              <w:bottom w:val="single" w:sz="4" w:space="0" w:color="000000"/>
              <w:right w:val="single" w:sz="4" w:space="0" w:color="auto"/>
              <w:tl2br w:val="nil"/>
              <w:tr2bl w:val="nil"/>
            </w:tcBorders>
            <w:shd w:val="clear" w:color="auto" w:fill="auto"/>
          </w:tcPr>
          <w:p>
            <w:pPr>
              <w:pStyle w:val="19"/>
              <w:autoSpaceDN w:val="0"/>
              <w:spacing w:line="240" w:lineRule="auto"/>
              <w:ind w:firstLine="0"/>
              <w:jc w:val="center"/>
              <w:rPr>
                <w:szCs w:val="21"/>
              </w:rPr>
            </w:pPr>
            <w:r>
              <w:rPr>
                <w:rFonts w:ascii="宋体" w:hAnsi="宋体" w:cs="宋体" w:hint="eastAsia"/>
                <w:snapToGrid w:val="0"/>
                <w:color w:val="000000"/>
                <w:spacing w:val="-2"/>
                <w:szCs w:val="21"/>
              </w:rPr>
              <w:t>内外网数据交换（1、MQ通道、2、Nginx配置）</w:t>
            </w:r>
            <w:r>
              <w:rPr>
                <w:rFonts w:hint="eastAsia"/>
                <w:spacing w:val="-3"/>
                <w:szCs w:val="21"/>
              </w:rPr>
              <w:t>技术支持服务</w:t>
            </w:r>
          </w:p>
        </w:tc>
        <w:tc>
          <w:tcPr>
            <w:tcW w:w="5043"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widowControl/>
              <w:autoSpaceDN w:val="0"/>
              <w:spacing w:line="240" w:lineRule="auto"/>
              <w:ind w:firstLine="0"/>
              <w:jc w:val="left"/>
              <w:rPr>
                <w:spacing w:val="-2"/>
              </w:rPr>
            </w:pPr>
            <w:r>
              <w:rPr>
                <w:rFonts w:hint="eastAsia"/>
                <w:spacing w:val="-2"/>
              </w:rPr>
              <w:t>系统提供IBMMQ、Nginx两种方式实现电子口岸专网（互联网出口）通过对外接入局域网与管理网的数据双向传输与交换。具体支持服务包括：</w:t>
            </w:r>
          </w:p>
          <w:p>
            <w:pPr>
              <w:pStyle w:val="10010"/>
              <w:widowControl/>
              <w:shd w:val="clear" w:color="auto" w:fill="FFFFFF"/>
              <w:autoSpaceDN w:val="0"/>
              <w:jc w:val="left"/>
              <w:rPr>
                <w:rFonts w:ascii="Calibri" w:eastAsia="Calibri" w:hAnsi="Calibri" w:cs="Calibri"/>
                <w:spacing w:val="-2"/>
                <w:kern w:val="0"/>
                <w:sz w:val="24"/>
              </w:rPr>
            </w:pPr>
            <w:r>
              <w:rPr>
                <w:rFonts w:ascii="Calibri" w:eastAsia="Calibri" w:hAnsi="Calibri" w:cs="Calibri" w:hint="eastAsia"/>
                <w:spacing w:val="-2"/>
                <w:kern w:val="0"/>
                <w:sz w:val="24"/>
              </w:rPr>
              <w:t>1.一年提供12次以上系统应用服务等关联软件的稳定性、可用性检查。</w:t>
            </w:r>
          </w:p>
          <w:p>
            <w:pPr>
              <w:pStyle w:val="19"/>
              <w:spacing w:line="240" w:lineRule="auto"/>
              <w:ind w:firstLine="0"/>
              <w:jc w:val="left"/>
              <w:rPr>
                <w:spacing w:val="-2"/>
              </w:rPr>
            </w:pPr>
            <w:r>
              <w:rPr>
                <w:rFonts w:hint="eastAsia"/>
                <w:spacing w:val="-2"/>
              </w:rPr>
              <w:t>2.一年提供4次以上系统安全加固，防止潜在的网络攻击和数据泄露风险。</w:t>
            </w:r>
          </w:p>
          <w:p>
            <w:pPr>
              <w:pStyle w:val="9710"/>
              <w:jc w:val="left"/>
              <w:rPr>
                <w:rFonts w:ascii="Calibri" w:eastAsia="Calibri" w:hAnsi="Calibri" w:cs="Calibri"/>
                <w:spacing w:val="-2"/>
                <w:kern w:val="0"/>
                <w:sz w:val="24"/>
                <w:szCs w:val="24"/>
              </w:rPr>
            </w:pPr>
            <w:r>
              <w:rPr>
                <w:rFonts w:ascii="Calibri" w:eastAsia="Calibri" w:hAnsi="Calibri" w:cs="Calibri" w:hint="eastAsia"/>
                <w:spacing w:val="-2"/>
                <w:kern w:val="0"/>
                <w:sz w:val="24"/>
                <w:szCs w:val="24"/>
              </w:rPr>
              <w:t>3.技术支持服务：提供7*24小时技术支持，确保系统在遇到技术问题时能够迅速得到响应和解决。</w:t>
            </w:r>
          </w:p>
          <w:p>
            <w:pPr>
              <w:pStyle w:val="19"/>
              <w:ind w:firstLine="0"/>
            </w:pPr>
            <w:r>
              <w:t>4.提供</w:t>
            </w:r>
            <w:r>
              <w:rPr>
                <w:rFonts w:hint="eastAsia"/>
              </w:rPr>
              <w:t>数据双向传输与交换的方案</w:t>
            </w:r>
          </w:p>
        </w:tc>
        <w:tc>
          <w:tcPr>
            <w:tcW w:w="859" w:type="dxa"/>
            <w:tcBorders>
              <w:top w:val="single" w:sz="4" w:space="0" w:color="auto"/>
              <w:left w:val="single" w:sz="4" w:space="0" w:color="auto"/>
              <w:bottom w:val="single" w:sz="4" w:space="0" w:color="auto"/>
              <w:right w:val="single" w:sz="4" w:space="0" w:color="auto"/>
              <w:tl2br w:val="nil"/>
              <w:tr2bl w:val="nil"/>
            </w:tcBorders>
            <w:shd w:val="clear" w:color="auto" w:fill="auto"/>
          </w:tcPr>
          <w:p>
            <w:pPr>
              <w:pStyle w:val="19"/>
              <w:spacing w:line="240" w:lineRule="auto"/>
              <w:ind w:firstLine="0"/>
              <w:jc w:val="center"/>
            </w:pPr>
            <w:r>
              <w:rPr>
                <w:rFonts w:hint="eastAsia"/>
              </w:rPr>
              <w:t>是</w:t>
            </w:r>
          </w:p>
          <w:p>
            <w:pPr>
              <w:pStyle w:val="19"/>
              <w:spacing w:line="240" w:lineRule="auto"/>
              <w:ind w:firstLine="0"/>
              <w:jc w:val="center"/>
            </w:pPr>
            <w:r>
              <w:rPr>
                <w:rFonts w:hint="eastAsia"/>
              </w:rPr>
              <w:t>提供</w:t>
            </w:r>
            <w:r>
              <w:t>承诺函</w:t>
            </w:r>
          </w:p>
        </w:tc>
      </w:tr>
    </w:tbl>
    <w:p>
      <w:pPr>
        <w:pStyle w:val="180"/>
        <w:rPr>
          <w:rFonts w:ascii="宋体" w:eastAsia="宋体"/>
        </w:rPr>
      </w:pPr>
    </w:p>
    <w:p>
      <w:pPr>
        <w:pStyle w:val="22"/>
        <w:numPr>
          <w:ilvl w:val="0"/>
          <w:numId w:val="2"/>
        </w:numPr>
        <w:outlineLvl w:val="1"/>
        <w:rPr>
          <w:rFonts w:ascii="宋体" w:eastAsia="宋体" w:hint="eastAsia"/>
        </w:rPr>
      </w:pPr>
      <w:r>
        <w:rPr>
          <w:rFonts w:ascii="宋体" w:eastAsia="宋体" w:hint="eastAsia"/>
        </w:rPr>
        <w:t>服务要求</w:t>
      </w:r>
    </w:p>
    <w:p>
      <w:pPr>
        <w:pStyle w:val="19"/>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pStyle w:val="19"/>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l2br w:val="nil"/>
              <w:tr2bl w:val="nil"/>
            </w:tcBorders>
          </w:tcPr>
          <w:p>
            <w:pPr>
              <w:pStyle w:val="19"/>
              <w:ind w:firstLine="0"/>
              <w:jc w:val="center"/>
              <w:rPr>
                <w:rFonts w:ascii="宋体" w:eastAsia="宋体"/>
              </w:rPr>
            </w:pPr>
            <w:r>
              <w:rPr>
                <w:rFonts w:ascii="宋体" w:eastAsia="宋体" w:hint="eastAsia"/>
              </w:rPr>
              <w:t>序号</w:t>
            </w:r>
          </w:p>
        </w:tc>
        <w:tc>
          <w:tcPr>
            <w:tcW w:w="1140" w:type="dxa"/>
            <w:tcBorders>
              <w:tl2br w:val="nil"/>
              <w:tr2bl w:val="nil"/>
            </w:tcBorders>
          </w:tcPr>
          <w:p>
            <w:pPr>
              <w:pStyle w:val="19"/>
              <w:ind w:firstLine="0"/>
              <w:jc w:val="center"/>
              <w:rPr>
                <w:rFonts w:ascii="宋体" w:eastAsia="宋体"/>
              </w:rPr>
            </w:pPr>
            <w:r>
              <w:rPr>
                <w:rFonts w:ascii="宋体" w:eastAsia="宋体" w:hint="eastAsia"/>
              </w:rPr>
              <w:t>内容</w:t>
            </w:r>
          </w:p>
        </w:tc>
        <w:tc>
          <w:tcPr>
            <w:tcW w:w="1196" w:type="dxa"/>
            <w:tcBorders>
              <w:tl2br w:val="nil"/>
              <w:tr2bl w:val="nil"/>
            </w:tcBorders>
          </w:tcPr>
          <w:p>
            <w:pPr>
              <w:pStyle w:val="19"/>
              <w:ind w:firstLine="0"/>
              <w:jc w:val="center"/>
              <w:rPr>
                <w:rFonts w:ascii="宋体" w:eastAsia="宋体"/>
              </w:rPr>
            </w:pPr>
            <w:r>
              <w:rPr>
                <w:rFonts w:ascii="宋体" w:eastAsia="宋体" w:hint="eastAsia"/>
              </w:rPr>
              <w:t>重要性</w:t>
            </w:r>
          </w:p>
        </w:tc>
        <w:tc>
          <w:tcPr>
            <w:tcW w:w="3690" w:type="dxa"/>
            <w:tcBorders>
              <w:tl2br w:val="nil"/>
              <w:tr2bl w:val="nil"/>
            </w:tcBorders>
          </w:tcPr>
          <w:p>
            <w:pPr>
              <w:pStyle w:val="19"/>
              <w:ind w:firstLine="0"/>
              <w:jc w:val="center"/>
              <w:rPr>
                <w:rFonts w:ascii="宋体" w:eastAsia="宋体"/>
              </w:rPr>
            </w:pPr>
            <w:r>
              <w:rPr>
                <w:rFonts w:ascii="宋体" w:eastAsia="宋体" w:hint="eastAsia"/>
              </w:rPr>
              <w:t>服务要求标准</w:t>
            </w:r>
          </w:p>
        </w:tc>
        <w:tc>
          <w:tcPr>
            <w:tcW w:w="1685" w:type="dxa"/>
            <w:tcBorders>
              <w:tl2br w:val="nil"/>
              <w:tr2bl w:val="nil"/>
            </w:tcBorders>
          </w:tcPr>
          <w:p>
            <w:pPr>
              <w:pStyle w:val="19"/>
              <w:ind w:firstLine="0"/>
              <w:jc w:val="center"/>
              <w:rPr>
                <w:rFonts w:ascii="宋体" w:eastAsia="宋体"/>
              </w:rPr>
            </w:pPr>
            <w:r>
              <w:rPr>
                <w:rFonts w:ascii="宋体" w:eastAsia="宋体" w:hint="eastAsia"/>
              </w:rPr>
              <w:t>证明材料要求</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1</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售后服务承诺函</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无</w:t>
            </w:r>
          </w:p>
        </w:tc>
        <w:tc>
          <w:tcPr>
            <w:tcW w:w="1685" w:type="dxa"/>
            <w:tcBorders>
              <w:tl2br w:val="nil"/>
              <w:tr2bl w:val="nil"/>
            </w:tcBorders>
            <w:vAlign w:val="center"/>
          </w:tcPr>
          <w:p>
            <w:pPr>
              <w:pStyle w:val="200"/>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2</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驻场人员要求</w:t>
            </w:r>
          </w:p>
        </w:tc>
        <w:tc>
          <w:tcPr>
            <w:tcW w:w="1196" w:type="dxa"/>
            <w:tcBorders>
              <w:tl2br w:val="nil"/>
              <w:tr2bl w:val="nil"/>
            </w:tcBorders>
            <w:vAlign w:val="center"/>
          </w:tcPr>
          <w:p>
            <w:pPr>
              <w:pStyle w:val="200"/>
              <w:spacing w:line="240" w:lineRule="auto"/>
              <w:ind w:firstLine="0"/>
              <w:jc w:val="center"/>
              <w:rPr>
                <w:rFonts w:ascii="宋体" w:eastAsia="宋体"/>
              </w:rPr>
            </w:pPr>
            <w:r>
              <w:rPr>
                <w:rFonts w:ascii="宋体" w:eastAsia="宋体" w:hint="eastAsia"/>
              </w:rPr>
              <w:t>▲</w:t>
            </w:r>
          </w:p>
        </w:tc>
        <w:tc>
          <w:tcPr>
            <w:tcW w:w="3690" w:type="dxa"/>
            <w:tcBorders>
              <w:tl2br w:val="nil"/>
              <w:tr2bl w:val="nil"/>
            </w:tcBorders>
          </w:tcPr>
          <w:p>
            <w:pPr>
              <w:pStyle w:val="200"/>
              <w:spacing w:line="240" w:lineRule="auto"/>
              <w:ind w:firstLine="0"/>
            </w:pPr>
            <w:r>
              <w:rPr>
                <w:rFonts w:hint="eastAsia"/>
              </w:rPr>
              <w:t>1</w:t>
            </w:r>
            <w:r>
              <w:t>.</w:t>
            </w:r>
            <w:r>
              <w:rPr>
                <w:rFonts w:hint="eastAsia"/>
              </w:rPr>
              <w:t>人员要求：服务提供方要为本项目指定</w:t>
            </w:r>
            <w:r>
              <w:t>1</w:t>
            </w:r>
            <w:r>
              <w:rPr>
                <w:rFonts w:hint="eastAsia"/>
              </w:rPr>
              <w:t>名专人作为项目经理，负责对该技术支持服务团队进行管理协调，服务提供方技术服务团队的技术服务工程师成员不少于</w:t>
            </w:r>
            <w:r>
              <w:t>7</w:t>
            </w:r>
            <w:r>
              <w:rPr>
                <w:rFonts w:hint="eastAsia"/>
              </w:rPr>
              <w:t>人。</w:t>
            </w:r>
          </w:p>
          <w:p>
            <w:pPr>
              <w:pStyle w:val="200"/>
              <w:spacing w:line="240" w:lineRule="auto"/>
              <w:ind w:firstLine="0"/>
            </w:pPr>
            <w:r>
              <w:rPr>
                <w:rFonts w:hint="eastAsia"/>
              </w:rPr>
              <w:t>2</w:t>
            </w:r>
            <w:r>
              <w:t>.</w:t>
            </w:r>
            <w:r>
              <w:rPr>
                <w:rFonts w:hint="eastAsia"/>
              </w:rPr>
              <w:t>团队技能要求：</w:t>
            </w:r>
          </w:p>
          <w:p>
            <w:pPr>
              <w:pStyle w:val="200"/>
              <w:spacing w:line="240" w:lineRule="auto"/>
              <w:ind w:firstLine="0"/>
            </w:pPr>
            <w:r>
              <w:rPr>
                <w:rFonts w:hint="eastAsia"/>
              </w:rPr>
              <w:t>精通</w:t>
            </w:r>
            <w:r>
              <w:t>Java</w:t>
            </w:r>
            <w:r>
              <w:rPr>
                <w:rFonts w:hint="eastAsia"/>
              </w:rPr>
              <w:t>生态系统：具备</w:t>
            </w:r>
            <w:r>
              <w:t>Spring Cloud</w:t>
            </w:r>
            <w:r>
              <w:rPr>
                <w:rFonts w:hint="eastAsia"/>
              </w:rPr>
              <w:t>、</w:t>
            </w:r>
            <w:r>
              <w:t>Spring Boot</w:t>
            </w:r>
            <w:r>
              <w:rPr>
                <w:rFonts w:hint="eastAsia"/>
              </w:rPr>
              <w:t>、</w:t>
            </w:r>
            <w:r>
              <w:t>MyBatis</w:t>
            </w:r>
            <w:r>
              <w:rPr>
                <w:rFonts w:hint="eastAsia"/>
              </w:rPr>
              <w:t>等框架知识，具有</w:t>
            </w:r>
            <w:r>
              <w:t>VUE.js</w:t>
            </w:r>
            <w:r>
              <w:rPr>
                <w:rFonts w:hint="eastAsia"/>
              </w:rPr>
              <w:t>进行前端开发的实践经验</w:t>
            </w:r>
            <w:r>
              <w:t>1</w:t>
            </w:r>
            <w:r>
              <w:rPr>
                <w:rFonts w:hint="eastAsia"/>
              </w:rPr>
              <w:t>年以上，能够独立解决技术难题，熟练运用</w:t>
            </w:r>
            <w:r>
              <w:t>IDEA</w:t>
            </w:r>
            <w:r>
              <w:rPr>
                <w:rFonts w:hint="eastAsia"/>
              </w:rPr>
              <w:t>、</w:t>
            </w:r>
            <w:r>
              <w:t>Git</w:t>
            </w:r>
            <w:r>
              <w:rPr>
                <w:rFonts w:hint="eastAsia"/>
              </w:rPr>
              <w:t>、</w:t>
            </w:r>
            <w:r>
              <w:t>Maven</w:t>
            </w:r>
            <w:r>
              <w:rPr>
                <w:rFonts w:hint="eastAsia"/>
              </w:rPr>
              <w:t>等开发工具。</w:t>
            </w:r>
          </w:p>
          <w:p>
            <w:pPr>
              <w:pStyle w:val="200"/>
              <w:spacing w:line="240" w:lineRule="auto"/>
              <w:ind w:firstLine="0"/>
            </w:pPr>
            <w:r>
              <w:rPr>
                <w:rFonts w:hint="eastAsia"/>
              </w:rPr>
              <w:t>多语言开发能力：团队中至少有一名成员精通</w:t>
            </w:r>
            <w:r>
              <w:t>Java</w:t>
            </w:r>
            <w:r>
              <w:rPr>
                <w:rFonts w:hint="eastAsia"/>
              </w:rPr>
              <w:t>，且至少有一名成员精通</w:t>
            </w:r>
            <w:r>
              <w:t>.Net</w:t>
            </w:r>
            <w:r>
              <w:rPr>
                <w:rFonts w:hint="eastAsia"/>
              </w:rPr>
              <w:t>，确保团队能够应对多样化的开发需求。</w:t>
            </w:r>
          </w:p>
          <w:p>
            <w:pPr>
              <w:pStyle w:val="200"/>
              <w:spacing w:line="240" w:lineRule="auto"/>
              <w:ind w:firstLine="0"/>
            </w:pPr>
            <w:r>
              <w:t>Linux</w:t>
            </w:r>
            <w:r>
              <w:rPr>
                <w:rFonts w:hint="eastAsia"/>
              </w:rPr>
              <w:t>系统管理与运维：熟悉</w:t>
            </w:r>
            <w:r>
              <w:t>Linux</w:t>
            </w:r>
            <w:r>
              <w:rPr>
                <w:rFonts w:hint="eastAsia"/>
              </w:rPr>
              <w:t>操作系统，能够高效地在</w:t>
            </w:r>
            <w:r>
              <w:t>Linux</w:t>
            </w:r>
            <w:r>
              <w:rPr>
                <w:rFonts w:hint="eastAsia"/>
              </w:rPr>
              <w:t>环境中搭建测试和生产环境，部署</w:t>
            </w:r>
            <w:r>
              <w:t>Java</w:t>
            </w:r>
            <w:r>
              <w:rPr>
                <w:rFonts w:hint="eastAsia"/>
              </w:rPr>
              <w:t>应用和服务，进行日志分析和故障定位，并具备编写简单</w:t>
            </w:r>
            <w:r>
              <w:t>Shell</w:t>
            </w:r>
            <w:r>
              <w:rPr>
                <w:rFonts w:hint="eastAsia"/>
              </w:rPr>
              <w:t>脚本的能力。</w:t>
            </w:r>
          </w:p>
          <w:p>
            <w:pPr>
              <w:pStyle w:val="200"/>
              <w:spacing w:line="240" w:lineRule="auto"/>
              <w:ind w:firstLine="0"/>
            </w:pPr>
            <w:r>
              <w:rPr>
                <w:rFonts w:hint="eastAsia"/>
              </w:rPr>
              <w:t>数据库与数据存储技术：熟练掌握结构化数据库技术，并对</w:t>
            </w:r>
            <w:r>
              <w:t>GaussDB</w:t>
            </w:r>
            <w:r>
              <w:rPr>
                <w:rFonts w:hint="eastAsia"/>
              </w:rPr>
              <w:t>、</w:t>
            </w:r>
            <w:r>
              <w:t>Kingbase</w:t>
            </w:r>
            <w:r>
              <w:rPr>
                <w:rFonts w:hint="eastAsia"/>
              </w:rPr>
              <w:t>、</w:t>
            </w:r>
            <w:r>
              <w:t>GBASE</w:t>
            </w:r>
            <w:r>
              <w:rPr>
                <w:rFonts w:hint="eastAsia"/>
              </w:rPr>
              <w:t>等国产数据库有深入了解。同时，熟悉</w:t>
            </w:r>
            <w:r>
              <w:t>MongoDB</w:t>
            </w:r>
            <w:r>
              <w:rPr>
                <w:rFonts w:hint="eastAsia"/>
              </w:rPr>
              <w:t>、</w:t>
            </w:r>
            <w:r>
              <w:t>Redis</w:t>
            </w:r>
            <w:r>
              <w:rPr>
                <w:rFonts w:hint="eastAsia"/>
              </w:rPr>
              <w:t>、</w:t>
            </w:r>
            <w:r>
              <w:t>Kafka</w:t>
            </w:r>
            <w:r>
              <w:rPr>
                <w:rFonts w:hint="eastAsia"/>
              </w:rPr>
              <w:t>、</w:t>
            </w:r>
            <w:r>
              <w:t>IBM MQ</w:t>
            </w:r>
            <w:r>
              <w:rPr>
                <w:rFonts w:hint="eastAsia"/>
              </w:rPr>
              <w:t>等非关系型数据库和消息队列技术。</w:t>
            </w:r>
          </w:p>
          <w:p>
            <w:pPr>
              <w:pStyle w:val="200"/>
              <w:spacing w:line="240" w:lineRule="auto"/>
              <w:ind w:firstLine="0"/>
            </w:pPr>
            <w:r>
              <w:rPr>
                <w:rFonts w:hint="eastAsia"/>
              </w:rPr>
              <w:t>网络与应用架构：掌握反向代理、负载均衡等关键技术，能够熟练配置和优化</w:t>
            </w:r>
            <w:r>
              <w:t>Nginx</w:t>
            </w:r>
            <w:r>
              <w:rPr>
                <w:rFonts w:hint="eastAsia"/>
              </w:rPr>
              <w:t>等服务器。</w:t>
            </w:r>
          </w:p>
          <w:p>
            <w:pPr>
              <w:pStyle w:val="200"/>
              <w:spacing w:line="240" w:lineRule="auto"/>
              <w:ind w:firstLine="0"/>
            </w:pPr>
            <w:r>
              <w:rPr>
                <w:rFonts w:hint="eastAsia"/>
              </w:rPr>
              <w:t>全栈</w:t>
            </w:r>
            <w:r>
              <w:t>WEB</w:t>
            </w:r>
            <w:r>
              <w:rPr>
                <w:rFonts w:hint="eastAsia"/>
              </w:rPr>
              <w:t>开发技能：具备全面的</w:t>
            </w:r>
            <w:r>
              <w:t>WEB</w:t>
            </w:r>
            <w:r>
              <w:rPr>
                <w:rFonts w:hint="eastAsia"/>
              </w:rPr>
              <w:t>开发技能，包括但不限于</w:t>
            </w:r>
            <w:r>
              <w:t>JQuery</w:t>
            </w:r>
            <w:r>
              <w:rPr>
                <w:rFonts w:hint="eastAsia"/>
              </w:rPr>
              <w:t>、</w:t>
            </w:r>
            <w:r>
              <w:t>JavaScript</w:t>
            </w:r>
            <w:r>
              <w:rPr>
                <w:rFonts w:hint="eastAsia"/>
              </w:rPr>
              <w:t>、</w:t>
            </w:r>
            <w:r>
              <w:t>HTML5</w:t>
            </w:r>
            <w:r>
              <w:rPr>
                <w:rFonts w:hint="eastAsia"/>
              </w:rPr>
              <w:t>、</w:t>
            </w:r>
            <w:r>
              <w:t>CSS3</w:t>
            </w:r>
            <w:r>
              <w:rPr>
                <w:rFonts w:hint="eastAsia"/>
              </w:rPr>
              <w:t>，能够构建高性能和用户友好的</w:t>
            </w:r>
            <w:r>
              <w:t>WEB</w:t>
            </w:r>
            <w:r>
              <w:rPr>
                <w:rFonts w:hint="eastAsia"/>
              </w:rPr>
              <w:t>应用。</w:t>
            </w:r>
          </w:p>
          <w:p>
            <w:pPr>
              <w:pStyle w:val="200"/>
              <w:spacing w:line="240" w:lineRule="auto"/>
              <w:ind w:firstLine="0"/>
            </w:pPr>
            <w:r>
              <w:rPr>
                <w:rFonts w:hint="eastAsia"/>
              </w:rPr>
              <w:t>面向对象编程与设计：拥有扎实的面向对象编程经验，深刻理解</w:t>
            </w:r>
            <w:r>
              <w:t>OOP</w:t>
            </w:r>
            <w:r>
              <w:rPr>
                <w:rFonts w:hint="eastAsia"/>
              </w:rPr>
              <w:t>和</w:t>
            </w:r>
            <w:r>
              <w:t>AOP</w:t>
            </w:r>
            <w:r>
              <w:rPr>
                <w:rFonts w:hint="eastAsia"/>
              </w:rPr>
              <w:t>原则，具备强大的算法分析和设计能力。</w:t>
            </w:r>
          </w:p>
          <w:p>
            <w:pPr>
              <w:pStyle w:val="200"/>
              <w:spacing w:line="240" w:lineRule="auto"/>
              <w:ind w:firstLine="0"/>
            </w:pPr>
            <w:r>
              <w:t>UML</w:t>
            </w:r>
            <w:r>
              <w:rPr>
                <w:rFonts w:hint="eastAsia"/>
              </w:rPr>
              <w:t>建模与设计工具：熟悉面向对象分析与设计，熟练使用</w:t>
            </w:r>
            <w:r>
              <w:t>Rose</w:t>
            </w:r>
            <w:r>
              <w:rPr>
                <w:rFonts w:hint="eastAsia"/>
              </w:rPr>
              <w:t>、</w:t>
            </w:r>
            <w:r>
              <w:t>Visio</w:t>
            </w:r>
            <w:r>
              <w:rPr>
                <w:rFonts w:hint="eastAsia"/>
              </w:rPr>
              <w:t>、</w:t>
            </w:r>
            <w:r>
              <w:t>PowerDesigner</w:t>
            </w:r>
            <w:r>
              <w:rPr>
                <w:rFonts w:hint="eastAsia"/>
              </w:rPr>
              <w:t>等</w:t>
            </w:r>
            <w:r>
              <w:t>UML</w:t>
            </w:r>
            <w:r>
              <w:rPr>
                <w:rFonts w:hint="eastAsia"/>
              </w:rPr>
              <w:t>建模工具，以支持高效的软件开发流程。</w:t>
            </w:r>
          </w:p>
          <w:p>
            <w:pPr>
              <w:pStyle w:val="200"/>
              <w:spacing w:line="240" w:lineRule="auto"/>
              <w:ind w:firstLine="0"/>
            </w:pPr>
            <w:r>
              <w:rPr>
                <w:rFonts w:hint="eastAsia"/>
              </w:rPr>
              <w:t>编程规范与文档编写：遵循良好的编程规范，具备编写清晰、规范的技术文档的能力。</w:t>
            </w:r>
          </w:p>
          <w:p>
            <w:pPr>
              <w:pStyle w:val="200"/>
              <w:spacing w:line="240" w:lineRule="auto"/>
              <w:ind w:firstLine="0"/>
              <w:rPr>
                <w:rFonts w:ascii="宋体" w:eastAsia="宋体"/>
              </w:rPr>
            </w:pPr>
            <w:r>
              <w:rPr>
                <w:rFonts w:hint="eastAsia"/>
              </w:rPr>
              <w:t>丰富的开发经验：拥有超过三年的软件开发经验</w:t>
            </w:r>
            <w:r>
              <w:rPr>
                <w:rFonts w:ascii="宋体" w:eastAsia="宋体" w:hint="eastAsia"/>
              </w:rPr>
              <w:t>、</w:t>
            </w:r>
            <w:r>
              <w:rPr>
                <w:rFonts w:hint="eastAsia"/>
              </w:rPr>
              <w:t>实战经验，能够应对复杂的开发挑战。</w:t>
            </w:r>
          </w:p>
        </w:tc>
        <w:tc>
          <w:tcPr>
            <w:tcW w:w="1685" w:type="dxa"/>
            <w:tcBorders>
              <w:tl2br w:val="nil"/>
              <w:tr2bl w:val="nil"/>
            </w:tcBorders>
            <w:vAlign w:val="center"/>
          </w:tcPr>
          <w:p>
            <w:pPr>
              <w:pStyle w:val="200"/>
              <w:spacing w:line="240" w:lineRule="auto"/>
              <w:ind w:firstLine="0"/>
              <w:rPr>
                <w:rFonts w:ascii="宋体" w:eastAsia="宋体"/>
              </w:rPr>
            </w:pPr>
            <w:r>
              <w:rPr>
                <w:rFonts w:hint="eastAsia"/>
              </w:rPr>
              <w:t>是，提供承诺函</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3</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投标人服务标准</w:t>
            </w:r>
          </w:p>
        </w:tc>
        <w:tc>
          <w:tcPr>
            <w:tcW w:w="1196" w:type="dxa"/>
            <w:tcBorders>
              <w:tl2br w:val="nil"/>
              <w:tr2bl w:val="nil"/>
            </w:tcBorders>
            <w:vAlign w:val="center"/>
          </w:tcPr>
          <w:p>
            <w:pPr>
              <w:pStyle w:val="200"/>
              <w:spacing w:line="240" w:lineRule="auto"/>
              <w:ind w:firstLine="0"/>
              <w:jc w:val="center"/>
              <w:rPr>
                <w:rFonts w:ascii="宋体" w:eastAsia="宋体"/>
              </w:rPr>
            </w:pPr>
            <w:r>
              <w:rPr>
                <w:rFonts w:ascii="宋体" w:eastAsia="宋体" w:hint="eastAsia"/>
              </w:rPr>
              <w:t>▲</w:t>
            </w:r>
          </w:p>
        </w:tc>
        <w:tc>
          <w:tcPr>
            <w:tcW w:w="3690" w:type="dxa"/>
            <w:tcBorders>
              <w:tl2br w:val="nil"/>
              <w:tr2bl w:val="nil"/>
            </w:tcBorders>
          </w:tcPr>
          <w:p>
            <w:pPr>
              <w:pStyle w:val="200"/>
              <w:spacing w:line="240" w:lineRule="auto"/>
              <w:ind w:firstLine="0"/>
            </w:pPr>
            <w:r>
              <w:t>1.</w:t>
            </w:r>
            <w:r>
              <w:rPr>
                <w:rFonts w:hint="eastAsia"/>
              </w:rPr>
              <w:t>技术服务团队能够迅速响应并解决技术问题，减少系统业务中断时间，能够提供</w:t>
            </w:r>
            <w:r>
              <w:t>7x24</w:t>
            </w:r>
            <w:r>
              <w:rPr>
                <w:rFonts w:hint="eastAsia"/>
              </w:rPr>
              <w:t>小时的技术支持和故障响应服务，确保在遇到问题时可以及时处理相关系统的异常与故障。</w:t>
            </w:r>
          </w:p>
          <w:p>
            <w:pPr>
              <w:pStyle w:val="200"/>
              <w:spacing w:line="240" w:lineRule="auto"/>
              <w:ind w:firstLine="0"/>
            </w:pPr>
            <w:r>
              <w:t>2.</w:t>
            </w:r>
            <w:r>
              <w:rPr>
                <w:rFonts w:hint="eastAsia"/>
              </w:rPr>
              <w:t>交付相关系统故障（问题）及其他要求分析处理的报告、日常运维清单及变更记录清单。</w:t>
            </w:r>
          </w:p>
          <w:p>
            <w:pPr>
              <w:pStyle w:val="200"/>
              <w:spacing w:line="240" w:lineRule="auto"/>
              <w:ind w:firstLine="0"/>
              <w:rPr>
                <w:rFonts w:ascii="宋体" w:eastAsia="宋体"/>
              </w:rPr>
            </w:pPr>
          </w:p>
        </w:tc>
        <w:tc>
          <w:tcPr>
            <w:tcW w:w="1685" w:type="dxa"/>
            <w:tcBorders>
              <w:tl2br w:val="nil"/>
              <w:tr2bl w:val="nil"/>
            </w:tcBorders>
            <w:vAlign w:val="center"/>
          </w:tcPr>
          <w:p>
            <w:pPr>
              <w:pStyle w:val="200"/>
              <w:spacing w:line="240" w:lineRule="auto"/>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4</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硬件、软件制造商服务标准</w:t>
            </w:r>
          </w:p>
        </w:tc>
        <w:tc>
          <w:tcPr>
            <w:tcW w:w="1196" w:type="dxa"/>
            <w:tcBorders>
              <w:tl2br w:val="nil"/>
              <w:tr2bl w:val="nil"/>
            </w:tcBorders>
            <w:vAlign w:val="center"/>
          </w:tcPr>
          <w:p>
            <w:pPr>
              <w:pStyle w:val="200"/>
              <w:spacing w:line="240" w:lineRule="auto"/>
              <w:ind w:firstLine="0"/>
              <w:jc w:val="center"/>
              <w:rPr>
                <w:rFonts w:ascii="宋体" w:eastAsia="宋体"/>
              </w:rPr>
            </w:pPr>
          </w:p>
        </w:tc>
        <w:tc>
          <w:tcPr>
            <w:tcW w:w="3690" w:type="dxa"/>
            <w:tcBorders>
              <w:tl2br w:val="nil"/>
              <w:tr2bl w:val="nil"/>
            </w:tcBorders>
          </w:tcPr>
          <w:p>
            <w:pPr>
              <w:pStyle w:val="200"/>
              <w:spacing w:line="240" w:lineRule="auto"/>
              <w:ind w:firstLine="0"/>
              <w:rPr>
                <w:rFonts w:ascii="宋体" w:eastAsia="宋体"/>
              </w:rPr>
            </w:pPr>
            <w:r>
              <w:rPr>
                <w:rFonts w:ascii="宋体" w:eastAsia="宋体" w:hint="eastAsia"/>
              </w:rPr>
              <w:t>无</w:t>
            </w:r>
          </w:p>
        </w:tc>
        <w:tc>
          <w:tcPr>
            <w:tcW w:w="1685" w:type="dxa"/>
            <w:tcBorders>
              <w:tl2br w:val="nil"/>
              <w:tr2bl w:val="nil"/>
            </w:tcBorders>
            <w:vAlign w:val="center"/>
          </w:tcPr>
          <w:p>
            <w:pPr>
              <w:pStyle w:val="200"/>
              <w:spacing w:line="240" w:lineRule="auto"/>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5</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人员资格标准</w:t>
            </w:r>
          </w:p>
        </w:tc>
        <w:tc>
          <w:tcPr>
            <w:tcW w:w="1196" w:type="dxa"/>
            <w:tcBorders>
              <w:tl2br w:val="nil"/>
              <w:tr2bl w:val="nil"/>
            </w:tcBorders>
            <w:vAlign w:val="center"/>
          </w:tcPr>
          <w:p>
            <w:pPr>
              <w:pStyle w:val="200"/>
              <w:spacing w:line="240" w:lineRule="auto"/>
              <w:ind w:firstLine="0"/>
              <w:jc w:val="center"/>
              <w:rPr>
                <w:rFonts w:ascii="宋体" w:eastAsia="宋体"/>
              </w:rPr>
            </w:pPr>
            <w:r>
              <w:rPr>
                <w:rFonts w:ascii="宋体" w:eastAsia="宋体" w:hint="eastAsia"/>
              </w:rPr>
              <w:t>▲</w:t>
            </w:r>
          </w:p>
        </w:tc>
        <w:tc>
          <w:tcPr>
            <w:tcW w:w="3690" w:type="dxa"/>
            <w:tcBorders>
              <w:tl2br w:val="nil"/>
              <w:tr2bl w:val="nil"/>
            </w:tcBorders>
          </w:tcPr>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投标人拟派负责本项目的项目团队要求：</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1.项目经理</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资质要求：</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具有人力资源和社会保障部、工业和信息化部颁发的信息系统项目管理师证书</w:t>
            </w:r>
            <w:r>
              <w:rPr>
                <w:rFonts w:eastAsia="宋体" w:cs="宋体"/>
              </w:rPr>
              <w:t>。</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同时，具有人力资源和社会保障部、工业和信息化部颁发的系统架构设计师证书或系统分析师证书</w:t>
            </w:r>
            <w:r>
              <w:rPr>
                <w:rFonts w:eastAsia="宋体" w:cs="宋体"/>
              </w:rPr>
              <w:t>，以上两种证书提供</w:t>
            </w:r>
            <w:r>
              <w:rPr>
                <w:rFonts w:eastAsia="宋体" w:cs="宋体" w:hint="eastAsia"/>
              </w:rPr>
              <w:t>任意一种。</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同类项目经验：</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具有3年及以上类似项目开发运维及管理经验。</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人员社保：</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距开标之日三个月内任意一个月的社保证明。</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2.项目团队</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资质要求：</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至少两名成员(不包含项目经理)具有工业和信息化部教育与考试中心颁发的IT运维工程师证书、工业和信息化部教育与考试中心颁发的数据库工程师证书或人力资源和社会保障部、工业和信息化部颁发的</w:t>
            </w:r>
            <w:r>
              <w:rPr>
                <w:rFonts w:eastAsia="宋体" w:cs="宋体"/>
              </w:rPr>
              <w:t>软件</w:t>
            </w:r>
            <w:r>
              <w:rPr>
                <w:rFonts w:eastAsia="宋体" w:cs="宋体" w:hint="eastAsia"/>
              </w:rPr>
              <w:t>设计师证书</w:t>
            </w:r>
            <w:r>
              <w:rPr>
                <w:rFonts w:eastAsia="宋体" w:cs="宋体"/>
              </w:rPr>
              <w:t>，以上三种证书提供</w:t>
            </w:r>
            <w:r>
              <w:rPr>
                <w:rFonts w:eastAsia="宋体" w:cs="宋体" w:hint="eastAsia"/>
              </w:rPr>
              <w:t>任意一种。</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团队成员经验：</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需要具有1年及以上同类项目运维及管理经验。</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团队人员社保：</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距开标之日三个月内任意一个月的社保证明。</w:t>
            </w:r>
          </w:p>
        </w:tc>
        <w:tc>
          <w:tcPr>
            <w:tcW w:w="1685" w:type="dxa"/>
            <w:tcBorders>
              <w:tl2br w:val="nil"/>
              <w:tr2bl w:val="nil"/>
            </w:tcBorders>
            <w:vAlign w:val="center"/>
          </w:tcPr>
          <w:p>
            <w:pPr>
              <w:pStyle w:val="200"/>
              <w:spacing w:line="240" w:lineRule="auto"/>
              <w:ind w:firstLine="0"/>
              <w:jc w:val="left"/>
              <w:rPr>
                <w:rFonts w:ascii="宋体" w:eastAsia="宋体"/>
                <w:color w:val="000000"/>
              </w:rPr>
            </w:pPr>
            <w:r>
              <w:rPr>
                <w:rFonts w:ascii="宋体" w:eastAsia="宋体" w:cs="微软雅黑" w:hint="eastAsia"/>
                <w:color w:val="000000"/>
                <w:szCs w:val="21"/>
              </w:rPr>
              <w:t>是，提供驻场服务团队方案，</w:t>
            </w:r>
            <w:r>
              <w:rPr>
                <w:rFonts w:ascii="宋体" w:eastAsia="宋体" w:cs="Times New Roman" w:hint="eastAsia"/>
                <w:color w:val="000000"/>
                <w:sz w:val="21"/>
                <w:szCs w:val="21"/>
              </w:rPr>
              <w:t>具体要求详见</w:t>
            </w:r>
            <w:r>
              <w:rPr>
                <w:rFonts w:ascii="宋体" w:hAnsi="宋体" w:hint="eastAsia"/>
                <w:color w:val="000000"/>
                <w:sz w:val="21"/>
                <w:szCs w:val="21"/>
              </w:rPr>
              <w:t xml:space="preserve">第二部分  </w:t>
            </w:r>
            <w:r>
              <w:rPr>
                <w:rFonts w:ascii="宋体" w:hAnsi="宋体"/>
                <w:color w:val="000000"/>
                <w:sz w:val="21"/>
                <w:szCs w:val="21"/>
              </w:rPr>
              <w:t>投标人</w:t>
            </w:r>
            <w:r>
              <w:rPr>
                <w:rFonts w:ascii="宋体" w:hAnsi="宋体" w:hint="eastAsia"/>
                <w:color w:val="000000"/>
                <w:sz w:val="21"/>
                <w:szCs w:val="21"/>
              </w:rPr>
              <w:t>须知</w:t>
            </w:r>
            <w:r>
              <w:rPr>
                <w:rFonts w:ascii="宋体" w:hAnsi="宋体"/>
                <w:color w:val="000000"/>
                <w:sz w:val="21"/>
                <w:szCs w:val="21"/>
              </w:rPr>
              <w:t>-</w:t>
            </w:r>
            <w:r>
              <w:rPr>
                <w:rFonts w:ascii="宋体" w:hAnsi="宋体" w:hint="eastAsia"/>
                <w:color w:val="000000"/>
                <w:sz w:val="21"/>
                <w:szCs w:val="21"/>
              </w:rPr>
              <w:t>三、</w:t>
            </w:r>
            <w:r>
              <w:rPr>
                <w:rFonts w:ascii="宋体" w:hAnsi="宋体"/>
                <w:color w:val="000000"/>
                <w:sz w:val="21"/>
                <w:szCs w:val="21"/>
              </w:rPr>
              <w:t>投标</w:t>
            </w:r>
            <w:r>
              <w:rPr>
                <w:rFonts w:ascii="宋体" w:hAnsi="宋体" w:hint="eastAsia"/>
                <w:color w:val="000000"/>
                <w:sz w:val="21"/>
                <w:szCs w:val="21"/>
              </w:rPr>
              <w:t>文件的编写</w:t>
            </w:r>
            <w:r>
              <w:rPr>
                <w:rFonts w:ascii="宋体" w:hAnsi="宋体"/>
                <w:color w:val="000000"/>
                <w:sz w:val="21"/>
                <w:szCs w:val="21"/>
              </w:rPr>
              <w:t>-</w:t>
            </w:r>
            <w:r>
              <w:rPr>
                <w:rFonts w:ascii="宋体" w:hAnsi="宋体" w:hint="eastAsia"/>
                <w:color w:val="000000"/>
                <w:sz w:val="21"/>
                <w:szCs w:val="21"/>
              </w:rPr>
              <w:t>第二类文件：评审证明材料-（三)</w:t>
            </w:r>
            <w:r>
              <w:rPr>
                <w:rFonts w:ascii="宋体" w:hAnsi="宋体"/>
                <w:color w:val="000000"/>
                <w:sz w:val="21"/>
                <w:szCs w:val="21"/>
              </w:rPr>
              <w:t>技术</w:t>
            </w:r>
            <w:r>
              <w:rPr>
                <w:rFonts w:ascii="宋体" w:hAnsi="宋体" w:hint="eastAsia"/>
                <w:color w:val="000000"/>
                <w:sz w:val="21"/>
                <w:szCs w:val="21"/>
              </w:rPr>
              <w:t>应答文件</w:t>
            </w:r>
            <w:r>
              <w:rPr>
                <w:rFonts w:ascii="宋体" w:hAnsi="宋体"/>
                <w:color w:val="000000"/>
                <w:sz w:val="21"/>
                <w:szCs w:val="21"/>
              </w:rPr>
              <w:t>。</w:t>
            </w:r>
            <w:r>
              <w:rPr>
                <w:rFonts w:ascii="宋体" w:eastAsia="宋体" w:hint="eastAsia"/>
                <w:color w:val="000000"/>
                <w:lang w:bidi="en-US"/>
              </w:rPr>
              <w:t>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6</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服务网络标准</w:t>
            </w:r>
          </w:p>
        </w:tc>
        <w:tc>
          <w:tcPr>
            <w:tcW w:w="1196" w:type="dxa"/>
            <w:tcBorders>
              <w:tl2br w:val="nil"/>
              <w:tr2bl w:val="nil"/>
            </w:tcBorders>
            <w:vAlign w:val="center"/>
          </w:tcPr>
          <w:p>
            <w:pPr>
              <w:pStyle w:val="200"/>
              <w:spacing w:line="240" w:lineRule="auto"/>
              <w:ind w:firstLine="0"/>
              <w:jc w:val="center"/>
              <w:rPr>
                <w:rFonts w:ascii="宋体" w:eastAsia="宋体"/>
              </w:rPr>
            </w:pPr>
          </w:p>
        </w:tc>
        <w:tc>
          <w:tcPr>
            <w:tcW w:w="3690" w:type="dxa"/>
            <w:tcBorders>
              <w:tl2br w:val="nil"/>
              <w:tr2bl w:val="nil"/>
            </w:tcBorders>
          </w:tcPr>
          <w:p>
            <w:pPr>
              <w:pStyle w:val="200"/>
              <w:spacing w:line="240" w:lineRule="auto"/>
              <w:ind w:firstLine="0"/>
              <w:rPr>
                <w:rFonts w:ascii="宋体" w:eastAsia="宋体"/>
              </w:rPr>
            </w:pPr>
            <w:r>
              <w:rPr>
                <w:rFonts w:ascii="宋体" w:eastAsia="宋体" w:hint="eastAsia"/>
              </w:rPr>
              <w:t>投标人需能满足项目服务期内运维及技术支持的要求。</w:t>
            </w:r>
          </w:p>
          <w:p>
            <w:pPr>
              <w:pStyle w:val="200"/>
              <w:spacing w:line="240" w:lineRule="auto"/>
              <w:ind w:firstLine="0"/>
              <w:rPr>
                <w:rFonts w:ascii="宋体" w:eastAsia="宋体"/>
              </w:rPr>
            </w:pPr>
            <w:r>
              <w:rPr>
                <w:rFonts w:ascii="宋体" w:eastAsia="宋体" w:hint="eastAsia"/>
              </w:rPr>
              <w:t>投标人为采购人提供服务过程中不得设置可以禁用或绕过安全机制的组件及其他未经明示的功能模块；不得将与本项目相关的设计文档、源代码、配置文件、操作手册等相关信息在互联网上公布或托管。</w:t>
            </w:r>
          </w:p>
        </w:tc>
        <w:tc>
          <w:tcPr>
            <w:tcW w:w="1685" w:type="dxa"/>
            <w:tcBorders>
              <w:tl2br w:val="nil"/>
              <w:tr2bl w:val="nil"/>
            </w:tcBorders>
            <w:vAlign w:val="center"/>
          </w:tcPr>
          <w:p>
            <w:pPr>
              <w:pStyle w:val="200"/>
              <w:spacing w:line="240" w:lineRule="auto"/>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7</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培训标准</w:t>
            </w:r>
          </w:p>
        </w:tc>
        <w:tc>
          <w:tcPr>
            <w:tcW w:w="1196" w:type="dxa"/>
            <w:tcBorders>
              <w:tl2br w:val="nil"/>
              <w:tr2bl w:val="nil"/>
            </w:tcBorders>
            <w:vAlign w:val="center"/>
          </w:tcPr>
          <w:p>
            <w:pPr>
              <w:pStyle w:val="200"/>
              <w:spacing w:line="240" w:lineRule="auto"/>
              <w:ind w:firstLine="0"/>
              <w:jc w:val="center"/>
              <w:rPr>
                <w:rFonts w:ascii="宋体" w:eastAsia="宋体"/>
              </w:rPr>
            </w:pPr>
          </w:p>
        </w:tc>
        <w:tc>
          <w:tcPr>
            <w:tcW w:w="3690" w:type="dxa"/>
            <w:tcBorders>
              <w:tl2br w:val="nil"/>
              <w:tr2bl w:val="nil"/>
            </w:tcBorders>
          </w:tcPr>
          <w:p>
            <w:pPr>
              <w:pStyle w:val="200"/>
              <w:spacing w:line="240" w:lineRule="auto"/>
              <w:ind w:firstLine="0"/>
              <w:rPr>
                <w:rFonts w:ascii="宋体" w:eastAsia="宋体"/>
              </w:rPr>
            </w:pPr>
            <w:r>
              <w:rPr>
                <w:rFonts w:ascii="宋体" w:eastAsia="宋体" w:hint="eastAsia"/>
              </w:rPr>
              <w:t>根据系统软件的功能和特点，充分考虑到采购人实际水平，提出详细的培训方案，以达到管理人员能够独立管理投标人所提供的系统软件和日常的维护处理能力。</w:t>
            </w:r>
          </w:p>
          <w:p>
            <w:pPr>
              <w:pStyle w:val="200"/>
              <w:spacing w:line="240" w:lineRule="auto"/>
              <w:ind w:firstLine="0"/>
              <w:rPr>
                <w:rFonts w:ascii="宋体" w:eastAsia="宋体"/>
              </w:rPr>
            </w:pPr>
            <w:r>
              <w:rPr>
                <w:rFonts w:ascii="宋体" w:eastAsia="宋体" w:hint="eastAsia"/>
              </w:rPr>
              <w:t>根据项目的总体要求和采购人的实际情况，投标人需配合进行培训</w:t>
            </w:r>
            <w:r>
              <w:rPr>
                <w:rFonts w:ascii="宋体" w:eastAsia="宋体"/>
              </w:rPr>
              <w:t>。</w:t>
            </w:r>
          </w:p>
        </w:tc>
        <w:tc>
          <w:tcPr>
            <w:tcW w:w="1685" w:type="dxa"/>
            <w:tcBorders>
              <w:tl2br w:val="nil"/>
              <w:tr2bl w:val="nil"/>
            </w:tcBorders>
            <w:vAlign w:val="center"/>
          </w:tcPr>
          <w:p>
            <w:pPr>
              <w:pStyle w:val="200"/>
              <w:ind w:firstLine="0"/>
              <w:rPr>
                <w:rFonts w:ascii="宋体" w:eastAsia="宋体"/>
              </w:rPr>
            </w:pPr>
            <w:r>
              <w:rPr>
                <w:rFonts w:ascii="宋体" w:eastAsia="宋体" w:hint="eastAsia"/>
              </w:rPr>
              <w:t>是，提供承诺函并加盖公章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8</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集成标准</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投标人在投标时须提供承诺函，承诺满足组织完成本项目的部署实施工作，组织完成各项软件产品的集成、安装、调试，并完成与采购人现有软、硬件系统之间的联调工作。</w:t>
            </w:r>
          </w:p>
        </w:tc>
        <w:tc>
          <w:tcPr>
            <w:tcW w:w="1685" w:type="dxa"/>
            <w:tcBorders>
              <w:tl2br w:val="nil"/>
              <w:tr2bl w:val="nil"/>
            </w:tcBorders>
            <w:vAlign w:val="center"/>
          </w:tcPr>
          <w:p>
            <w:pPr>
              <w:pStyle w:val="200"/>
              <w:ind w:firstLine="0"/>
              <w:rPr>
                <w:rFonts w:ascii="宋体" w:eastAsia="宋体"/>
              </w:rPr>
            </w:pPr>
            <w:r>
              <w:rPr>
                <w:rFonts w:ascii="宋体" w:eastAsia="宋体" w:hint="eastAsia"/>
              </w:rPr>
              <w:t>是，提供承诺函并加盖公章</w:t>
            </w:r>
          </w:p>
        </w:tc>
      </w:tr>
    </w:tbl>
    <w:p>
      <w:pPr>
        <w:pStyle w:val="22"/>
        <w:numPr>
          <w:ilvl w:val="0"/>
          <w:numId w:val="2"/>
        </w:numPr>
        <w:outlineLvl w:val="1"/>
        <w:rPr>
          <w:rFonts w:ascii="宋体" w:eastAsia="宋体" w:hint="eastAsia"/>
        </w:rPr>
      </w:pPr>
      <w:r>
        <w:rPr>
          <w:rFonts w:ascii="宋体" w:eastAsia="宋体" w:hint="eastAsia"/>
        </w:rPr>
        <w:t>实施要求</w:t>
      </w:r>
    </w:p>
    <w:p>
      <w:pPr>
        <w:pStyle w:val="19"/>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pStyle w:val="19"/>
        <w:rPr>
          <w:rFonts w:ascii="宋体" w:eastAsia="宋体"/>
        </w:rPr>
      </w:pPr>
      <w:r>
        <w:rPr>
          <w:rFonts w:ascii="宋体" w:eastAsia="宋体" w:hint="eastAsia"/>
        </w:rPr>
        <w:t>②“证明材料要求”项可填“是”和“否”。填“是”的，投标人须按“实施标准”提供相关证明材料。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l2br w:val="nil"/>
              <w:tr2bl w:val="nil"/>
            </w:tcBorders>
          </w:tcPr>
          <w:p>
            <w:pPr>
              <w:pStyle w:val="19"/>
              <w:ind w:firstLine="0"/>
              <w:jc w:val="center"/>
              <w:rPr>
                <w:rFonts w:ascii="宋体" w:eastAsia="宋体"/>
              </w:rPr>
            </w:pPr>
            <w:r>
              <w:rPr>
                <w:rFonts w:ascii="宋体" w:eastAsia="宋体" w:hint="eastAsia"/>
              </w:rPr>
              <w:t>序号</w:t>
            </w:r>
          </w:p>
        </w:tc>
        <w:tc>
          <w:tcPr>
            <w:tcW w:w="1140" w:type="dxa"/>
            <w:tcBorders>
              <w:tl2br w:val="nil"/>
              <w:tr2bl w:val="nil"/>
            </w:tcBorders>
          </w:tcPr>
          <w:p>
            <w:pPr>
              <w:pStyle w:val="19"/>
              <w:ind w:firstLine="0"/>
              <w:jc w:val="center"/>
              <w:rPr>
                <w:rFonts w:ascii="宋体" w:eastAsia="宋体"/>
              </w:rPr>
            </w:pPr>
            <w:r>
              <w:rPr>
                <w:rFonts w:ascii="宋体" w:eastAsia="宋体" w:hint="eastAsia"/>
              </w:rPr>
              <w:t>内容</w:t>
            </w:r>
          </w:p>
        </w:tc>
        <w:tc>
          <w:tcPr>
            <w:tcW w:w="1196" w:type="dxa"/>
            <w:tcBorders>
              <w:tl2br w:val="nil"/>
              <w:tr2bl w:val="nil"/>
            </w:tcBorders>
          </w:tcPr>
          <w:p>
            <w:pPr>
              <w:pStyle w:val="19"/>
              <w:ind w:firstLine="0"/>
              <w:jc w:val="center"/>
              <w:rPr>
                <w:rFonts w:ascii="宋体" w:eastAsia="宋体"/>
              </w:rPr>
            </w:pPr>
            <w:r>
              <w:rPr>
                <w:rFonts w:ascii="宋体" w:eastAsia="宋体" w:hint="eastAsia"/>
              </w:rPr>
              <w:t>重要性</w:t>
            </w:r>
          </w:p>
        </w:tc>
        <w:tc>
          <w:tcPr>
            <w:tcW w:w="3690" w:type="dxa"/>
            <w:tcBorders>
              <w:tl2br w:val="nil"/>
              <w:tr2bl w:val="nil"/>
            </w:tcBorders>
          </w:tcPr>
          <w:p>
            <w:pPr>
              <w:pStyle w:val="19"/>
              <w:ind w:firstLine="0"/>
              <w:jc w:val="center"/>
              <w:rPr>
                <w:rFonts w:ascii="宋体" w:eastAsia="宋体"/>
              </w:rPr>
            </w:pPr>
            <w:r>
              <w:rPr>
                <w:rFonts w:ascii="宋体" w:eastAsia="宋体" w:hint="eastAsia"/>
              </w:rPr>
              <w:t>实施标准</w:t>
            </w:r>
          </w:p>
        </w:tc>
        <w:tc>
          <w:tcPr>
            <w:tcW w:w="1685" w:type="dxa"/>
            <w:tcBorders>
              <w:tl2br w:val="nil"/>
              <w:tr2bl w:val="nil"/>
            </w:tcBorders>
          </w:tcPr>
          <w:p>
            <w:pPr>
              <w:pStyle w:val="19"/>
              <w:ind w:firstLine="0"/>
              <w:jc w:val="center"/>
              <w:rPr>
                <w:rFonts w:ascii="宋体" w:eastAsia="宋体"/>
              </w:rPr>
            </w:pPr>
            <w:r>
              <w:rPr>
                <w:rFonts w:ascii="宋体" w:eastAsia="宋体" w:hint="eastAsia"/>
              </w:rPr>
              <w:t>证明材料要求</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1</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项目实施过程控制</w:t>
            </w:r>
          </w:p>
        </w:tc>
        <w:tc>
          <w:tcPr>
            <w:tcW w:w="1196" w:type="dxa"/>
            <w:tcBorders>
              <w:tl2br w:val="nil"/>
              <w:tr2bl w:val="nil"/>
            </w:tcBorders>
            <w:vAlign w:val="center"/>
          </w:tcPr>
          <w:p>
            <w:pPr>
              <w:pStyle w:val="200"/>
              <w:ind w:firstLine="0"/>
              <w:jc w:val="center"/>
              <w:rPr>
                <w:rFonts w:ascii="宋体" w:eastAsia="宋体"/>
              </w:rPr>
            </w:pPr>
            <w:r>
              <w:rPr>
                <w:rFonts w:ascii="宋体" w:eastAsia="宋体" w:hint="eastAsia"/>
              </w:rPr>
              <w:t>▲</w:t>
            </w:r>
          </w:p>
        </w:tc>
        <w:tc>
          <w:tcPr>
            <w:tcW w:w="3690" w:type="dxa"/>
            <w:tcBorders>
              <w:tl2br w:val="nil"/>
              <w:tr2bl w:val="nil"/>
            </w:tcBorders>
          </w:tcPr>
          <w:p>
            <w:pPr>
              <w:pStyle w:val="200"/>
              <w:ind w:firstLine="0"/>
              <w:rPr>
                <w:rFonts w:ascii="宋体" w:eastAsia="宋体"/>
              </w:rPr>
            </w:pPr>
            <w:r>
              <w:t>供应商应在项目实施过程中，承诺做到：服从采购人的组织、协调；按海关相应的技术、管理等规范要求开展工作。</w:t>
            </w:r>
          </w:p>
        </w:tc>
        <w:tc>
          <w:tcPr>
            <w:tcW w:w="1685" w:type="dxa"/>
            <w:tcBorders>
              <w:tl2br w:val="nil"/>
              <w:tr2bl w:val="nil"/>
            </w:tcBorders>
            <w:vAlign w:val="center"/>
          </w:tcPr>
          <w:p>
            <w:pPr>
              <w:pStyle w:val="200"/>
              <w:ind w:firstLine="0"/>
              <w:rPr>
                <w:rFonts w:ascii="宋体" w:eastAsia="宋体"/>
              </w:rPr>
            </w:pPr>
            <w:r>
              <w:rPr>
                <w:rFonts w:eastAsia="宋体" w:hint="eastAsia"/>
              </w:rPr>
              <w:t>是</w:t>
            </w:r>
            <w:r>
              <w:rPr>
                <w:rFonts w:eastAsia="宋体"/>
              </w:rPr>
              <w:t>，投标文件中提供履约保障措施和质量保证体系</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2</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项目实施过程文档管理</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在项目实施过程中，所有有关需求、建议、解决方案、技术文档和结论都文档化、标准化，以便查阅和引用。</w:t>
            </w:r>
          </w:p>
        </w:tc>
        <w:tc>
          <w:tcPr>
            <w:tcW w:w="1685" w:type="dxa"/>
            <w:tcBorders>
              <w:tl2br w:val="nil"/>
              <w:tr2bl w:val="nil"/>
            </w:tcBorders>
            <w:vAlign w:val="center"/>
          </w:tcPr>
          <w:p>
            <w:pPr>
              <w:pStyle w:val="200"/>
              <w:ind w:firstLine="0"/>
              <w:rPr>
                <w:rFonts w:ascii="宋体" w:eastAsia="宋体"/>
              </w:rPr>
            </w:pPr>
            <w:r>
              <w:rPr>
                <w:rFonts w:ascii="宋体" w:eastAsia="宋体" w:hint="eastAsia"/>
              </w:rPr>
              <w:t>是，提供项目实施过程文档管理规范及方案</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3</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项目实施组织架构</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eastAsia="宋体"/>
              </w:rPr>
            </w:pPr>
            <w:r>
              <w:rPr>
                <w:rFonts w:ascii="宋体" w:eastAsia="宋体" w:hint="eastAsia"/>
              </w:rPr>
              <w:t>投标人应负责提出本项目实施的人员配置方案，人员配置要求：项目组成员及角色设置合理，项目团队应由项目经理、开发工程师、测试工程师等组成。</w:t>
            </w:r>
          </w:p>
        </w:tc>
        <w:tc>
          <w:tcPr>
            <w:tcW w:w="1685" w:type="dxa"/>
            <w:tcBorders>
              <w:tl2br w:val="nil"/>
              <w:tr2bl w:val="nil"/>
            </w:tcBorders>
            <w:vAlign w:val="center"/>
          </w:tcPr>
          <w:p>
            <w:pPr>
              <w:pStyle w:val="200"/>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4</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项目实施进度安排</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eastAsia="宋体"/>
              </w:rPr>
            </w:pPr>
            <w:r>
              <w:rPr>
                <w:rFonts w:ascii="宋体" w:hAnsi="宋体" w:cs="宋体"/>
                <w:spacing w:val="-4"/>
                <w:kern w:val="2"/>
              </w:rPr>
              <w:t>项目实施计划及进度安排需内容详细，时间安排紧凑、合理，充分满足本项目需求。</w:t>
            </w:r>
          </w:p>
        </w:tc>
        <w:tc>
          <w:tcPr>
            <w:tcW w:w="1685" w:type="dxa"/>
            <w:tcBorders>
              <w:tl2br w:val="nil"/>
              <w:tr2bl w:val="nil"/>
            </w:tcBorders>
            <w:vAlign w:val="center"/>
          </w:tcPr>
          <w:p>
            <w:pPr>
              <w:pStyle w:val="200"/>
              <w:ind w:firstLine="0"/>
              <w:rPr>
                <w:rFonts w:ascii="宋体" w:eastAsia="宋体"/>
              </w:rPr>
            </w:pPr>
            <w:r>
              <w:t>是，投标文件中提供项目计划</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5</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项目安装过程安排</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项目开发测试完成后，根据采购人安排，规定时间内完成调试测试和系统部署，实施过程应符合相关行业规范。</w:t>
            </w:r>
          </w:p>
        </w:tc>
        <w:tc>
          <w:tcPr>
            <w:tcW w:w="1685" w:type="dxa"/>
            <w:tcBorders>
              <w:tl2br w:val="nil"/>
              <w:tr2bl w:val="nil"/>
            </w:tcBorders>
            <w:vAlign w:val="center"/>
          </w:tcPr>
          <w:p>
            <w:pPr>
              <w:pStyle w:val="200"/>
              <w:ind w:firstLine="0"/>
              <w:rPr>
                <w:rFonts w:ascii="宋体" w:eastAsia="宋体"/>
              </w:rPr>
            </w:pPr>
            <w:r>
              <w:rPr>
                <w:rFonts w:ascii="宋体" w:eastAsia="宋体" w:hint="eastAsia"/>
                <w:color w:val="000000"/>
              </w:rPr>
              <w:t>是，提供承诺函并加盖公章。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6</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项目验收安排</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合同验收合格的条件必须至少满足以下要求：</w:t>
            </w:r>
          </w:p>
          <w:p>
            <w:pPr>
              <w:pStyle w:val="200"/>
              <w:ind w:firstLine="0"/>
              <w:rPr>
                <w:rFonts w:ascii="宋体" w:eastAsia="宋体"/>
              </w:rPr>
            </w:pPr>
            <w:r>
              <w:rPr>
                <w:rFonts w:ascii="宋体" w:eastAsia="宋体" w:hint="eastAsia"/>
              </w:rPr>
              <w:t>系统上线运行时功能、性能满足国家相关标准（含国产化技术标准）、合同和实施方案的要求；</w:t>
            </w:r>
          </w:p>
          <w:p>
            <w:pPr>
              <w:pStyle w:val="200"/>
              <w:ind w:firstLine="0"/>
              <w:rPr>
                <w:rFonts w:ascii="宋体" w:eastAsia="宋体"/>
              </w:rPr>
            </w:pPr>
            <w:r>
              <w:rPr>
                <w:rFonts w:ascii="宋体" w:eastAsia="宋体" w:hint="eastAsia"/>
              </w:rPr>
              <w:t>已提供了合同要求的全部资料；</w:t>
            </w:r>
          </w:p>
          <w:p>
            <w:pPr>
              <w:pStyle w:val="200"/>
              <w:ind w:firstLine="0"/>
              <w:rPr>
                <w:rFonts w:ascii="宋体" w:eastAsia="宋体"/>
              </w:rPr>
            </w:pPr>
            <w:r>
              <w:rPr>
                <w:rFonts w:ascii="宋体" w:eastAsia="宋体" w:hint="eastAsia"/>
              </w:rPr>
              <w:t>移交与本项目有关的相关技术资料。项目成果以及由此形成的知识产权属中国电子口岸数据中心深圳分中心所有，包括文档资料、相关软件源代码等；</w:t>
            </w:r>
          </w:p>
          <w:p>
            <w:pPr>
              <w:pStyle w:val="200"/>
              <w:ind w:firstLine="0"/>
              <w:rPr>
                <w:rFonts w:eastAsia="宋体"/>
              </w:rPr>
            </w:pPr>
            <w:r>
              <w:rPr>
                <w:rFonts w:ascii="宋体" w:eastAsia="宋体" w:hint="eastAsia"/>
              </w:rPr>
              <w:t>具体验收由深圳海关组织相关业务、技术专家进行评审。中标方需承诺协助为验收提供相关服务。</w:t>
            </w:r>
          </w:p>
        </w:tc>
        <w:tc>
          <w:tcPr>
            <w:tcW w:w="1685" w:type="dxa"/>
            <w:tcBorders>
              <w:tl2br w:val="nil"/>
              <w:tr2bl w:val="nil"/>
            </w:tcBorders>
            <w:vAlign w:val="center"/>
          </w:tcPr>
          <w:p>
            <w:pPr>
              <w:pStyle w:val="200"/>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7</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项目培训安排</w:t>
            </w:r>
          </w:p>
        </w:tc>
        <w:tc>
          <w:tcPr>
            <w:tcW w:w="1196" w:type="dxa"/>
            <w:tcBorders>
              <w:tl2br w:val="nil"/>
              <w:tr2bl w:val="nil"/>
            </w:tcBorders>
            <w:vAlign w:val="center"/>
          </w:tcPr>
          <w:p>
            <w:pPr>
              <w:pStyle w:val="200"/>
              <w:ind w:firstLine="0"/>
              <w:jc w:val="center"/>
              <w:rPr>
                <w:rFonts w:ascii="宋体" w:eastAsia="宋体"/>
                <w:color w:val="FF0000"/>
              </w:rPr>
            </w:pPr>
          </w:p>
        </w:tc>
        <w:tc>
          <w:tcPr>
            <w:tcW w:w="3690" w:type="dxa"/>
            <w:tcBorders>
              <w:tl2br w:val="nil"/>
              <w:tr2bl w:val="nil"/>
            </w:tcBorders>
          </w:tcPr>
          <w:p>
            <w:pPr>
              <w:pStyle w:val="200"/>
              <w:ind w:firstLine="0"/>
              <w:rPr>
                <w:rFonts w:ascii="宋体" w:eastAsia="宋体"/>
                <w:color w:val="000000"/>
              </w:rPr>
            </w:pPr>
            <w:r>
              <w:rPr>
                <w:rFonts w:ascii="宋体" w:eastAsia="宋体" w:hint="eastAsia"/>
                <w:color w:val="000000"/>
              </w:rPr>
              <w:t>提供培训承诺。</w:t>
            </w:r>
          </w:p>
        </w:tc>
        <w:tc>
          <w:tcPr>
            <w:tcW w:w="1685" w:type="dxa"/>
            <w:tcBorders>
              <w:tl2br w:val="nil"/>
              <w:tr2bl w:val="nil"/>
            </w:tcBorders>
            <w:vAlign w:val="center"/>
          </w:tcPr>
          <w:p>
            <w:pPr>
              <w:pStyle w:val="200"/>
              <w:ind w:firstLine="0"/>
              <w:rPr>
                <w:rFonts w:ascii="宋体" w:eastAsia="宋体"/>
                <w:color w:val="000000"/>
              </w:rPr>
            </w:pPr>
            <w:r>
              <w:rPr>
                <w:rFonts w:ascii="宋体" w:eastAsia="宋体" w:hint="eastAsia"/>
                <w:color w:val="000000"/>
              </w:rPr>
              <w:t>是，提供承诺函并加盖公章。</w:t>
            </w:r>
          </w:p>
        </w:tc>
      </w:tr>
      <w:tr>
        <w:tblPrEx>
          <w:tblW w:w="8519" w:type="dxa"/>
          <w:jc w:val="left"/>
          <w:tblLayout w:type="fixed"/>
          <w:tblCellMar>
            <w:top w:w="0" w:type="dxa"/>
            <w:left w:w="108" w:type="dxa"/>
            <w:bottom w:w="0" w:type="dxa"/>
            <w:right w:w="108" w:type="dxa"/>
          </w:tblCellMar>
        </w:tblPrEx>
        <w:trPr>
          <w:trHeight w:val="1133"/>
          <w:jc w:val="left"/>
        </w:trPr>
        <w:tc>
          <w:tcPr>
            <w:tcW w:w="808" w:type="dxa"/>
            <w:tcBorders>
              <w:tl2br w:val="nil"/>
              <w:tr2bl w:val="nil"/>
            </w:tcBorders>
            <w:vAlign w:val="center"/>
          </w:tcPr>
          <w:p>
            <w:pPr>
              <w:pStyle w:val="23"/>
              <w:ind w:firstLine="0"/>
              <w:jc w:val="center"/>
              <w:rPr>
                <w:rFonts w:ascii="宋体" w:eastAsia="宋体"/>
              </w:rPr>
            </w:pPr>
            <w:r>
              <w:rPr>
                <w:rFonts w:ascii="宋体" w:eastAsia="宋体" w:hint="eastAsia"/>
              </w:rPr>
              <w:t>8</w:t>
            </w:r>
          </w:p>
        </w:tc>
        <w:tc>
          <w:tcPr>
            <w:tcW w:w="1140" w:type="dxa"/>
            <w:tcBorders>
              <w:tl2br w:val="nil"/>
              <w:tr2bl w:val="nil"/>
            </w:tcBorders>
            <w:vAlign w:val="center"/>
          </w:tcPr>
          <w:p>
            <w:pPr>
              <w:pStyle w:val="28"/>
              <w:ind w:firstLine="0"/>
              <w:jc w:val="center"/>
              <w:rPr>
                <w:rFonts w:ascii="宋体" w:eastAsia="宋体"/>
              </w:rPr>
            </w:pPr>
            <w:r>
              <w:rPr>
                <w:rFonts w:ascii="宋体" w:eastAsia="宋体" w:hint="eastAsia"/>
              </w:rPr>
              <w:t>集成标准</w:t>
            </w:r>
          </w:p>
        </w:tc>
        <w:tc>
          <w:tcPr>
            <w:tcW w:w="1196" w:type="dxa"/>
            <w:tcBorders>
              <w:tl2br w:val="nil"/>
              <w:tr2bl w:val="nil"/>
            </w:tcBorders>
            <w:vAlign w:val="center"/>
          </w:tcPr>
          <w:p>
            <w:pPr>
              <w:pStyle w:val="200"/>
              <w:ind w:firstLine="0"/>
              <w:jc w:val="center"/>
              <w:rPr>
                <w:rFonts w:ascii="宋体" w:eastAsia="宋体"/>
              </w:rPr>
            </w:pPr>
          </w:p>
        </w:tc>
        <w:tc>
          <w:tcPr>
            <w:tcW w:w="3690" w:type="dxa"/>
            <w:tcBorders>
              <w:tl2br w:val="nil"/>
              <w:tr2bl w:val="nil"/>
            </w:tcBorders>
          </w:tcPr>
          <w:p>
            <w:pPr>
              <w:pStyle w:val="200"/>
              <w:ind w:firstLine="0"/>
              <w:rPr>
                <w:rFonts w:ascii="宋体" w:eastAsia="宋体"/>
              </w:rPr>
            </w:pPr>
            <w:r>
              <w:rPr>
                <w:rFonts w:ascii="宋体" w:eastAsia="宋体" w:hint="eastAsia"/>
              </w:rPr>
              <w:t>无</w:t>
            </w:r>
          </w:p>
          <w:p>
            <w:pPr>
              <w:pStyle w:val="200"/>
              <w:ind w:firstLine="0"/>
              <w:rPr>
                <w:rFonts w:ascii="宋体" w:eastAsia="宋体"/>
              </w:rPr>
            </w:pPr>
          </w:p>
        </w:tc>
        <w:tc>
          <w:tcPr>
            <w:tcW w:w="1685" w:type="dxa"/>
            <w:tcBorders>
              <w:tl2br w:val="nil"/>
              <w:tr2bl w:val="nil"/>
            </w:tcBorders>
            <w:vAlign w:val="center"/>
          </w:tcPr>
          <w:p>
            <w:pPr>
              <w:pStyle w:val="200"/>
              <w:jc w:val="center"/>
              <w:rPr>
                <w:rFonts w:ascii="宋体" w:eastAsia="宋体"/>
              </w:rPr>
            </w:pPr>
            <w:r>
              <w:rPr>
                <w:rFonts w:ascii="宋体" w:eastAsia="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19"/>
              <w:ind w:firstLine="0"/>
              <w:jc w:val="center"/>
              <w:rPr>
                <w:rFonts w:ascii="宋体" w:eastAsia="宋体"/>
              </w:rPr>
            </w:pPr>
            <w:r>
              <w:rPr>
                <w:rFonts w:ascii="宋体" w:eastAsia="宋体" w:hint="eastAsia"/>
              </w:rPr>
              <w:t>9</w:t>
            </w:r>
          </w:p>
        </w:tc>
        <w:tc>
          <w:tcPr>
            <w:tcW w:w="1140" w:type="dxa"/>
            <w:tcBorders>
              <w:tl2br w:val="nil"/>
              <w:tr2bl w:val="nil"/>
            </w:tcBorders>
            <w:vAlign w:val="center"/>
          </w:tcPr>
          <w:p>
            <w:pPr>
              <w:pStyle w:val="19"/>
              <w:ind w:firstLine="0"/>
              <w:jc w:val="center"/>
              <w:rPr>
                <w:rFonts w:ascii="宋体" w:eastAsia="宋体"/>
              </w:rPr>
            </w:pPr>
            <w:r>
              <w:rPr>
                <w:rFonts w:ascii="宋体" w:eastAsia="宋体" w:hint="eastAsia"/>
              </w:rPr>
              <w:t>交付或实施地点</w:t>
            </w:r>
          </w:p>
        </w:tc>
        <w:tc>
          <w:tcPr>
            <w:tcW w:w="1196" w:type="dxa"/>
            <w:tcBorders>
              <w:tl2br w:val="nil"/>
              <w:tr2bl w:val="nil"/>
            </w:tcBorders>
            <w:vAlign w:val="center"/>
          </w:tcPr>
          <w:p>
            <w:pPr>
              <w:pStyle w:val="19"/>
              <w:ind w:firstLine="0"/>
              <w:jc w:val="center"/>
              <w:rPr>
                <w:rFonts w:ascii="宋体" w:eastAsia="宋体"/>
              </w:rPr>
            </w:pPr>
          </w:p>
        </w:tc>
        <w:tc>
          <w:tcPr>
            <w:tcW w:w="3690" w:type="dxa"/>
            <w:tcBorders>
              <w:tl2br w:val="nil"/>
              <w:tr2bl w:val="nil"/>
            </w:tcBorders>
          </w:tcPr>
          <w:p>
            <w:pPr>
              <w:pStyle w:val="19"/>
              <w:ind w:firstLine="0"/>
              <w:rPr>
                <w:rFonts w:ascii="宋体" w:eastAsia="宋体"/>
              </w:rPr>
            </w:pPr>
            <w:r>
              <w:rPr>
                <w:rFonts w:ascii="宋体" w:eastAsia="宋体" w:hint="eastAsia"/>
              </w:rPr>
              <w:t>中国电子口岸数据中心深圳分中心指定地点</w:t>
            </w:r>
          </w:p>
        </w:tc>
        <w:tc>
          <w:tcPr>
            <w:tcW w:w="1685" w:type="dxa"/>
            <w:tcBorders>
              <w:tl2br w:val="nil"/>
              <w:tr2bl w:val="nil"/>
            </w:tcBorders>
            <w:vAlign w:val="center"/>
          </w:tcPr>
          <w:p>
            <w:pPr>
              <w:pStyle w:val="19"/>
              <w:jc w:val="center"/>
              <w:rPr>
                <w:rFonts w:ascii="宋体" w:eastAsia="宋体"/>
              </w:rPr>
            </w:pPr>
            <w:r>
              <w:rPr>
                <w:rFonts w:ascii="宋体" w:eastAsia="宋体" w:hint="eastAsia"/>
              </w:rPr>
              <w:t>否</w:t>
            </w:r>
          </w:p>
        </w:tc>
      </w:tr>
    </w:tbl>
    <w:p>
      <w:pPr>
        <w:pStyle w:val="22"/>
        <w:numPr>
          <w:ilvl w:val="0"/>
          <w:numId w:val="2"/>
        </w:numPr>
        <w:outlineLvl w:val="1"/>
        <w:rPr>
          <w:rFonts w:ascii="宋体" w:eastAsia="宋体" w:hint="eastAsia"/>
        </w:rPr>
      </w:pPr>
      <w:r>
        <w:rPr>
          <w:rFonts w:ascii="宋体" w:eastAsia="宋体" w:hint="eastAsia"/>
        </w:rPr>
        <w:t>其它内容</w:t>
      </w:r>
    </w:p>
    <w:p>
      <w:pPr>
        <w:pStyle w:val="19"/>
        <w:rPr>
          <w:rFonts w:ascii="宋体" w:eastAsia="宋体"/>
          <w:color w:val="000000"/>
        </w:rPr>
      </w:pPr>
      <w:r>
        <w:rPr>
          <w:rFonts w:ascii="宋体" w:eastAsia="宋体" w:hint="eastAsia"/>
          <w:color w:val="000000"/>
        </w:rPr>
        <w:t>1.业绩要求：</w:t>
      </w:r>
      <w:r>
        <w:rPr>
          <w:rFonts w:ascii="Times New Roman" w:hAnsi="Times New Roman" w:hint="eastAsia"/>
          <w:color w:val="000000"/>
          <w:szCs w:val="21"/>
          <w:highlight w:val="white"/>
        </w:rPr>
        <w:t>投标人提供</w:t>
      </w:r>
      <w:r>
        <w:rPr>
          <w:rFonts w:ascii="Times New Roman" w:eastAsia="宋体" w:hAnsi="Times New Roman" w:hint="eastAsia"/>
          <w:color w:val="000000"/>
          <w:szCs w:val="21"/>
          <w:highlight w:val="white"/>
        </w:rPr>
        <w:t xml:space="preserve"> </w:t>
      </w:r>
      <w:r>
        <w:rPr>
          <w:rFonts w:ascii="Times New Roman" w:eastAsia="宋体" w:hAnsi="Times New Roman"/>
          <w:color w:val="000000"/>
          <w:szCs w:val="21"/>
          <w:highlight w:val="white"/>
        </w:rPr>
        <w:t>2022</w:t>
      </w:r>
      <w:r>
        <w:rPr>
          <w:rFonts w:ascii="Times New Roman" w:hAnsi="Times New Roman" w:hint="eastAsia"/>
          <w:color w:val="000000"/>
          <w:szCs w:val="21"/>
          <w:highlight w:val="white"/>
        </w:rPr>
        <w:t>年</w:t>
      </w:r>
      <w:r>
        <w:rPr>
          <w:rFonts w:ascii="Times New Roman" w:eastAsia="宋体" w:hAnsi="Times New Roman" w:hint="eastAsia"/>
          <w:color w:val="000000"/>
          <w:szCs w:val="21"/>
          <w:highlight w:val="white"/>
        </w:rPr>
        <w:t xml:space="preserve">5 </w:t>
      </w:r>
      <w:r>
        <w:rPr>
          <w:rFonts w:ascii="Times New Roman" w:hAnsi="Times New Roman" w:hint="eastAsia"/>
          <w:color w:val="000000"/>
          <w:szCs w:val="21"/>
          <w:highlight w:val="white"/>
        </w:rPr>
        <w:t>月</w:t>
      </w:r>
      <w:r>
        <w:rPr>
          <w:rFonts w:ascii="Times New Roman" w:hAnsi="Times New Roman"/>
          <w:color w:val="000000"/>
          <w:szCs w:val="21"/>
          <w:highlight w:val="white"/>
        </w:rPr>
        <w:t>1</w:t>
      </w:r>
      <w:r>
        <w:rPr>
          <w:rFonts w:ascii="Times New Roman" w:eastAsia="宋体" w:hAnsi="Times New Roman" w:hint="eastAsia"/>
          <w:color w:val="000000"/>
          <w:szCs w:val="21"/>
          <w:highlight w:val="white"/>
        </w:rPr>
        <w:t xml:space="preserve"> </w:t>
      </w:r>
      <w:r>
        <w:rPr>
          <w:rFonts w:ascii="Times New Roman" w:hAnsi="Times New Roman" w:hint="eastAsia"/>
          <w:color w:val="000000"/>
          <w:szCs w:val="21"/>
          <w:highlight w:val="white"/>
        </w:rPr>
        <w:t>日起至本项目招标公告发布之日止（以合同签订日期为准），与本项目同类技术支持服务项目业绩相关材料</w:t>
      </w:r>
      <w:r>
        <w:rPr>
          <w:rFonts w:cs="微软雅黑"/>
          <w:color w:val="000000"/>
          <w:lang w:val="zh-CN"/>
        </w:rPr>
        <w:t>。</w:t>
      </w:r>
    </w:p>
    <w:p>
      <w:pPr>
        <w:pStyle w:val="19"/>
        <w:rPr>
          <w:rFonts w:ascii="宋体" w:eastAsia="宋体"/>
          <w:color w:val="000000"/>
        </w:rPr>
      </w:pPr>
      <w:r>
        <w:rPr>
          <w:rFonts w:ascii="宋体" w:eastAsia="宋体" w:hint="eastAsia"/>
          <w:color w:val="000000"/>
        </w:rPr>
        <w:t>2.相关主观评审因素要求。</w:t>
      </w:r>
    </w:p>
    <w:p>
      <w:pPr>
        <w:pStyle w:val="200"/>
        <w:rPr>
          <w:rFonts w:ascii="宋体" w:eastAsia="宋体" w:cs="Times New Roman"/>
          <w:color w:val="000000"/>
        </w:rPr>
      </w:pPr>
      <w:r>
        <w:rPr>
          <w:rFonts w:ascii="宋体" w:eastAsia="宋体" w:cs="Times New Roman" w:hint="eastAsia"/>
          <w:color w:val="000000"/>
        </w:rPr>
        <w:t xml:space="preserve">对本项目的需求理解分析应涵盖以下内容：1）对项目的重点和难点的理解分析；2）有完整的设计思路；3）有完整的工作流程；4）提出高效运维措施。  </w:t>
      </w:r>
    </w:p>
    <w:p>
      <w:pPr>
        <w:pStyle w:val="200"/>
        <w:rPr>
          <w:rFonts w:ascii="宋体" w:eastAsia="宋体" w:cs="Times New Roman"/>
          <w:color w:val="000000"/>
        </w:rPr>
      </w:pPr>
      <w:r>
        <w:rPr>
          <w:rFonts w:ascii="宋体" w:eastAsia="宋体" w:cs="Times New Roman" w:hint="eastAsia"/>
        </w:rPr>
        <w:t>技术方案涵盖</w:t>
      </w:r>
      <w:r>
        <w:rPr>
          <w:rFonts w:ascii="宋体" w:eastAsia="宋体" w:cs="Times New Roman" w:hint="eastAsia"/>
          <w:color w:val="000000"/>
        </w:rPr>
        <w:t xml:space="preserve">以下内容：1）技术路线；2）变更方案；3）应急方案；4）安全管理方案；5）质量控制方案。 </w:t>
      </w:r>
    </w:p>
    <w:p>
      <w:pPr>
        <w:pStyle w:val="200"/>
        <w:rPr>
          <w:rFonts w:ascii="宋体" w:eastAsia="宋体" w:cs="Times New Roman"/>
          <w:color w:val="000000"/>
        </w:rPr>
      </w:pPr>
      <w:r>
        <w:rPr>
          <w:rFonts w:ascii="宋体" w:eastAsia="宋体" w:cs="Times New Roman" w:hint="eastAsia"/>
          <w:color w:val="000000"/>
        </w:rPr>
        <w:t xml:space="preserve">项目实施管理方案涵盖以下内容：1）实施措施；2）实施方法；3）实施手段；4）实施流程。 </w:t>
      </w:r>
    </w:p>
    <w:p>
      <w:pPr>
        <w:pStyle w:val="200"/>
        <w:rPr>
          <w:rFonts w:ascii="宋体" w:eastAsia="宋体" w:cs="Times New Roman"/>
          <w:color w:val="000000"/>
        </w:rPr>
      </w:pPr>
      <w:r>
        <w:rPr>
          <w:rFonts w:ascii="宋体" w:eastAsia="宋体" w:cs="Times New Roman" w:hint="eastAsia"/>
          <w:color w:val="000000"/>
        </w:rPr>
        <w:t>售后服务与技术支持方案涵盖以下内容：1）运维团队人员配置；2）应急维修时间安排；3）质保期外的维修服务收费标注；4）其他服务承诺。</w:t>
      </w:r>
    </w:p>
    <w:p>
      <w:pPr>
        <w:pStyle w:val="200"/>
        <w:rPr>
          <w:rFonts w:ascii="宋体" w:eastAsia="宋体" w:cs="Times New Roman"/>
          <w:color w:val="000000"/>
        </w:rPr>
      </w:pPr>
      <w:r>
        <w:rPr>
          <w:rFonts w:ascii="宋体" w:eastAsia="宋体" w:cs="Times New Roman" w:hint="eastAsia"/>
          <w:color w:val="000000"/>
        </w:rPr>
        <w:t xml:space="preserve">培训方案涵盖以下内容：1）培训安排；2）培训方式；3）培训时间节点；4）培训内容；5）培训课件。 </w:t>
      </w:r>
    </w:p>
    <w:p>
      <w:pPr>
        <w:pStyle w:val="19"/>
        <w:rPr>
          <w:rFonts w:ascii="宋体" w:eastAsia="宋体"/>
          <w:color w:val="000000"/>
        </w:rPr>
      </w:pPr>
      <w:r>
        <w:rPr>
          <w:rFonts w:ascii="宋体" w:eastAsia="宋体" w:hint="eastAsia"/>
          <w:color w:val="000000"/>
        </w:rPr>
        <w:t>3.服务清单：无。</w:t>
      </w:r>
    </w:p>
    <w:p>
      <w:pPr>
        <w:pStyle w:val="19"/>
        <w:rPr>
          <w:rFonts w:ascii="宋体" w:eastAsia="宋体"/>
          <w:color w:val="000000"/>
        </w:rPr>
      </w:pPr>
      <w:r>
        <w:rPr>
          <w:rFonts w:ascii="宋体" w:eastAsia="宋体" w:hint="eastAsia"/>
          <w:color w:val="000000"/>
        </w:rPr>
        <w:t>4.本项目专门针对中小企业。</w:t>
      </w:r>
    </w:p>
    <w:p>
      <w:pPr>
        <w:pStyle w:val="19"/>
        <w:rPr>
          <w:rFonts w:ascii="宋体" w:eastAsia="宋体"/>
        </w:rPr>
      </w:pPr>
      <w:r>
        <w:rPr>
          <w:rFonts w:ascii="宋体" w:eastAsia="宋体" w:hint="eastAsia"/>
          <w:color w:val="000000"/>
        </w:rPr>
        <w:t>5.</w:t>
      </w:r>
      <w:r>
        <w:rPr>
          <w:rFonts w:ascii="宋体" w:eastAsia="宋体" w:hint="eastAsia"/>
        </w:rPr>
        <w:t>技术服务需求响应程度表</w:t>
      </w: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l2br w:val="nil"/>
              <w:tr2bl w:val="nil"/>
            </w:tcBorders>
          </w:tcPr>
          <w:p>
            <w:pPr>
              <w:pStyle w:val="29"/>
              <w:ind w:firstLine="0"/>
              <w:jc w:val="center"/>
              <w:rPr>
                <w:rFonts w:ascii="宋体" w:eastAsia="宋体"/>
                <w:color w:val="000000"/>
              </w:rPr>
            </w:pPr>
            <w:r>
              <w:rPr>
                <w:rFonts w:ascii="宋体" w:eastAsia="宋体" w:hint="eastAsia"/>
                <w:color w:val="000000"/>
              </w:rPr>
              <w:t>序号</w:t>
            </w:r>
          </w:p>
        </w:tc>
        <w:tc>
          <w:tcPr>
            <w:tcW w:w="1140" w:type="dxa"/>
            <w:tcBorders>
              <w:tl2br w:val="nil"/>
              <w:tr2bl w:val="nil"/>
            </w:tcBorders>
          </w:tcPr>
          <w:p>
            <w:pPr>
              <w:pStyle w:val="300"/>
              <w:ind w:firstLine="0"/>
              <w:jc w:val="center"/>
              <w:rPr>
                <w:rFonts w:ascii="宋体" w:eastAsia="宋体"/>
                <w:color w:val="000000"/>
              </w:rPr>
            </w:pPr>
            <w:r>
              <w:rPr>
                <w:rFonts w:ascii="宋体" w:eastAsia="宋体" w:hint="eastAsia"/>
                <w:color w:val="000000"/>
              </w:rPr>
              <w:t>内容</w:t>
            </w:r>
          </w:p>
        </w:tc>
        <w:tc>
          <w:tcPr>
            <w:tcW w:w="1880" w:type="dxa"/>
            <w:tcBorders>
              <w:tl2br w:val="nil"/>
              <w:tr2bl w:val="nil"/>
            </w:tcBorders>
          </w:tcPr>
          <w:p>
            <w:pPr>
              <w:pStyle w:val="311"/>
              <w:ind w:firstLine="0"/>
              <w:jc w:val="center"/>
              <w:rPr>
                <w:rFonts w:ascii="宋体" w:eastAsia="宋体"/>
                <w:color w:val="000000"/>
              </w:rPr>
            </w:pPr>
            <w:r>
              <w:rPr>
                <w:rFonts w:ascii="宋体" w:eastAsia="宋体" w:hint="eastAsia"/>
                <w:color w:val="000000"/>
              </w:rPr>
              <w:t>数量</w:t>
            </w:r>
          </w:p>
        </w:tc>
        <w:tc>
          <w:tcPr>
            <w:tcW w:w="4680" w:type="dxa"/>
            <w:tcBorders>
              <w:tl2br w:val="nil"/>
              <w:tr2bl w:val="nil"/>
            </w:tcBorders>
          </w:tcPr>
          <w:p>
            <w:pPr>
              <w:pStyle w:val="32"/>
              <w:ind w:firstLine="0"/>
              <w:jc w:val="center"/>
              <w:rPr>
                <w:rFonts w:ascii="宋体" w:eastAsia="宋体"/>
                <w:color w:val="000000"/>
              </w:rPr>
            </w:pPr>
            <w:r>
              <w:rPr>
                <w:rFonts w:ascii="宋体" w:eastAsia="宋体" w:hint="eastAsia"/>
                <w:color w:val="000000"/>
              </w:rPr>
              <w:t>所在位置</w:t>
            </w:r>
          </w:p>
        </w:tc>
      </w:tr>
      <w:tr>
        <w:tblPrEx>
          <w:tblW w:w="8508" w:type="dxa"/>
          <w:jc w:val="left"/>
          <w:tblLayout w:type="fixed"/>
          <w:tblCellMar>
            <w:top w:w="0" w:type="dxa"/>
            <w:left w:w="108" w:type="dxa"/>
            <w:bottom w:w="0" w:type="dxa"/>
            <w:right w:w="108" w:type="dxa"/>
          </w:tblCellMar>
        </w:tblPrEx>
        <w:trPr>
          <w:trHeight w:val="1133"/>
          <w:jc w:val="left"/>
        </w:trPr>
        <w:tc>
          <w:tcPr>
            <w:tcW w:w="808" w:type="dxa"/>
            <w:tcBorders>
              <w:tl2br w:val="nil"/>
              <w:tr2bl w:val="nil"/>
            </w:tcBorders>
            <w:vAlign w:val="center"/>
          </w:tcPr>
          <w:p>
            <w:pPr>
              <w:pStyle w:val="33"/>
              <w:ind w:firstLine="0"/>
              <w:jc w:val="center"/>
              <w:rPr>
                <w:rFonts w:ascii="宋体" w:eastAsia="宋体"/>
                <w:color w:val="000000"/>
              </w:rPr>
            </w:pPr>
            <w:r>
              <w:rPr>
                <w:rFonts w:ascii="宋体" w:eastAsia="宋体" w:hint="eastAsia"/>
                <w:color w:val="000000"/>
              </w:rPr>
              <w:t>1</w:t>
            </w:r>
          </w:p>
        </w:tc>
        <w:tc>
          <w:tcPr>
            <w:tcW w:w="1140" w:type="dxa"/>
            <w:tcBorders>
              <w:tl2br w:val="nil"/>
              <w:tr2bl w:val="nil"/>
            </w:tcBorders>
            <w:vAlign w:val="center"/>
          </w:tcPr>
          <w:p>
            <w:pPr>
              <w:pStyle w:val="360"/>
              <w:ind w:firstLine="0"/>
              <w:jc w:val="center"/>
              <w:rPr>
                <w:rFonts w:ascii="宋体" w:eastAsia="宋体"/>
                <w:color w:val="000000"/>
              </w:rPr>
            </w:pPr>
            <w:r>
              <w:rPr>
                <w:rFonts w:ascii="宋体" w:eastAsia="宋体" w:hint="eastAsia"/>
                <w:color w:val="000000"/>
              </w:rPr>
              <w:t>重要指标项</w:t>
            </w:r>
          </w:p>
        </w:tc>
        <w:tc>
          <w:tcPr>
            <w:tcW w:w="1880" w:type="dxa"/>
            <w:tcBorders>
              <w:tl2br w:val="nil"/>
              <w:tr2bl w:val="nil"/>
            </w:tcBorders>
            <w:vAlign w:val="center"/>
          </w:tcPr>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3</w:t>
            </w:r>
            <w:r>
              <w:rPr>
                <w:rFonts w:eastAsia="宋体" w:cs="宋体"/>
              </w:rPr>
              <w:t>8</w:t>
            </w:r>
          </w:p>
        </w:tc>
        <w:tc>
          <w:tcPr>
            <w:tcW w:w="4680" w:type="dxa"/>
            <w:tcBorders>
              <w:tl2br w:val="nil"/>
              <w:tr2bl w:val="nil"/>
            </w:tcBorders>
          </w:tcPr>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分别为：</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六、货物或服务指标要求（31个）：第</w:t>
            </w:r>
            <w:r>
              <w:rPr>
                <w:rFonts w:eastAsia="宋体" w:cs="宋体"/>
              </w:rPr>
              <w:t>5</w:t>
            </w:r>
            <w:r>
              <w:rPr>
                <w:rFonts w:eastAsia="宋体" w:cs="宋体" w:hint="eastAsia"/>
              </w:rPr>
              <w:t>、</w:t>
            </w:r>
            <w:r>
              <w:rPr>
                <w:rFonts w:eastAsia="宋体" w:cs="宋体"/>
              </w:rPr>
              <w:t>13</w:t>
            </w:r>
            <w:r>
              <w:rPr>
                <w:rFonts w:eastAsia="宋体" w:cs="宋体" w:hint="eastAsia"/>
              </w:rPr>
              <w:t>、</w:t>
            </w:r>
            <w:r>
              <w:rPr>
                <w:rFonts w:eastAsia="宋体" w:cs="宋体"/>
              </w:rPr>
              <w:t>21</w:t>
            </w:r>
            <w:r>
              <w:rPr>
                <w:rFonts w:eastAsia="宋体" w:cs="宋体" w:hint="eastAsia"/>
              </w:rPr>
              <w:t>、</w:t>
            </w:r>
            <w:r>
              <w:rPr>
                <w:rFonts w:eastAsia="宋体" w:cs="宋体"/>
              </w:rPr>
              <w:t>29</w:t>
            </w:r>
            <w:r>
              <w:rPr>
                <w:rFonts w:eastAsia="宋体" w:cs="宋体" w:hint="eastAsia"/>
              </w:rPr>
              <w:t>、</w:t>
            </w:r>
            <w:r>
              <w:rPr>
                <w:rFonts w:eastAsia="宋体" w:cs="宋体"/>
              </w:rPr>
              <w:t>37</w:t>
            </w:r>
            <w:r>
              <w:rPr>
                <w:rFonts w:eastAsia="宋体" w:cs="宋体" w:hint="eastAsia"/>
              </w:rPr>
              <w:t>、</w:t>
            </w:r>
            <w:r>
              <w:rPr>
                <w:rFonts w:eastAsia="宋体" w:cs="宋体"/>
              </w:rPr>
              <w:t>45</w:t>
            </w:r>
            <w:r>
              <w:rPr>
                <w:rFonts w:eastAsia="宋体" w:cs="宋体" w:hint="eastAsia"/>
              </w:rPr>
              <w:t>、</w:t>
            </w:r>
            <w:r>
              <w:rPr>
                <w:rFonts w:eastAsia="宋体" w:cs="宋体"/>
              </w:rPr>
              <w:t>53</w:t>
            </w:r>
            <w:r>
              <w:rPr>
                <w:rFonts w:eastAsia="宋体" w:cs="宋体" w:hint="eastAsia"/>
              </w:rPr>
              <w:t xml:space="preserve">项各4个，第51项3个。 </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 xml:space="preserve">七、服务要求（6个）：第2、3、5项各2个。 </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八、实施要求（1个）：第1项1个。</w:t>
            </w:r>
          </w:p>
        </w:tc>
      </w:tr>
      <w:tr>
        <w:tblPrEx>
          <w:tblW w:w="8508" w:type="dxa"/>
          <w:jc w:val="left"/>
          <w:tblLayout w:type="fixed"/>
          <w:tblCellMar>
            <w:top w:w="0" w:type="dxa"/>
            <w:left w:w="108" w:type="dxa"/>
            <w:bottom w:w="0" w:type="dxa"/>
            <w:right w:w="108" w:type="dxa"/>
          </w:tblCellMar>
        </w:tblPrEx>
        <w:trPr>
          <w:trHeight w:val="1134"/>
          <w:jc w:val="left"/>
        </w:trPr>
        <w:tc>
          <w:tcPr>
            <w:tcW w:w="808" w:type="dxa"/>
            <w:tcBorders>
              <w:tl2br w:val="nil"/>
              <w:tr2bl w:val="nil"/>
            </w:tcBorders>
            <w:vAlign w:val="center"/>
          </w:tcPr>
          <w:p>
            <w:pPr>
              <w:pStyle w:val="33"/>
              <w:ind w:firstLine="0"/>
              <w:jc w:val="center"/>
              <w:rPr>
                <w:rFonts w:ascii="宋体" w:eastAsia="宋体"/>
                <w:color w:val="000000"/>
              </w:rPr>
            </w:pPr>
            <w:r>
              <w:rPr>
                <w:rFonts w:ascii="宋体" w:eastAsia="宋体" w:hint="eastAsia"/>
                <w:color w:val="000000"/>
              </w:rPr>
              <w:t>2</w:t>
            </w:r>
          </w:p>
        </w:tc>
        <w:tc>
          <w:tcPr>
            <w:tcW w:w="1140" w:type="dxa"/>
            <w:tcBorders>
              <w:tl2br w:val="nil"/>
              <w:tr2bl w:val="nil"/>
            </w:tcBorders>
            <w:vAlign w:val="center"/>
          </w:tcPr>
          <w:p>
            <w:pPr>
              <w:pStyle w:val="360"/>
              <w:ind w:firstLine="0"/>
              <w:jc w:val="center"/>
              <w:rPr>
                <w:rFonts w:ascii="宋体" w:eastAsia="宋体"/>
                <w:color w:val="000000"/>
              </w:rPr>
            </w:pPr>
            <w:r>
              <w:rPr>
                <w:rFonts w:ascii="宋体" w:eastAsia="宋体" w:hint="eastAsia"/>
                <w:color w:val="000000"/>
              </w:rPr>
              <w:t>一般指标项</w:t>
            </w:r>
          </w:p>
        </w:tc>
        <w:tc>
          <w:tcPr>
            <w:tcW w:w="1880" w:type="dxa"/>
            <w:tcBorders>
              <w:tl2br w:val="nil"/>
              <w:tr2bl w:val="nil"/>
            </w:tcBorders>
            <w:vAlign w:val="center"/>
          </w:tcPr>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1</w:t>
            </w:r>
            <w:r>
              <w:rPr>
                <w:rFonts w:eastAsia="宋体" w:cs="宋体"/>
              </w:rPr>
              <w:t>22</w:t>
            </w:r>
          </w:p>
        </w:tc>
        <w:tc>
          <w:tcPr>
            <w:tcW w:w="4680" w:type="dxa"/>
            <w:tcBorders>
              <w:tl2br w:val="nil"/>
              <w:tr2bl w:val="nil"/>
            </w:tcBorders>
          </w:tcPr>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 xml:space="preserve">分别为： </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五、集成需求（</w:t>
            </w:r>
            <w:r>
              <w:rPr>
                <w:rFonts w:eastAsia="宋体" w:cs="宋体"/>
              </w:rPr>
              <w:t>1</w:t>
            </w:r>
            <w:r>
              <w:rPr>
                <w:rFonts w:eastAsia="宋体" w:cs="宋体" w:hint="eastAsia"/>
              </w:rPr>
              <w:t>个）：第</w:t>
            </w:r>
            <w:r>
              <w:rPr>
                <w:rFonts w:eastAsia="宋体" w:cs="宋体"/>
              </w:rPr>
              <w:t>2</w:t>
            </w:r>
            <w:r>
              <w:rPr>
                <w:rFonts w:eastAsia="宋体" w:cs="宋体" w:hint="eastAsia"/>
              </w:rPr>
              <w:t xml:space="preserve">项1个。 </w:t>
            </w:r>
          </w:p>
          <w:p>
            <w:pPr>
              <w:pStyle w:val="200"/>
              <w:tabs>
                <w:tab w:val="left" w:pos="0"/>
              </w:tabs>
              <w:adjustRightInd w:val="0"/>
              <w:spacing w:line="240" w:lineRule="auto"/>
              <w:ind w:firstLine="0"/>
              <w:jc w:val="left"/>
              <w:textAlignment w:val="baseline"/>
              <w:rPr>
                <w:rFonts w:eastAsia="宋体" w:cs="宋体"/>
              </w:rPr>
            </w:pPr>
            <w:r>
              <w:rPr>
                <w:rFonts w:eastAsia="宋体" w:cs="宋体" w:hint="eastAsia"/>
              </w:rPr>
              <w:t>六、货物或服务指标要求（111个）：第</w:t>
            </w:r>
            <w:r>
              <w:rPr>
                <w:rFonts w:eastAsia="宋体" w:cs="宋体"/>
              </w:rPr>
              <w:t>7</w:t>
            </w:r>
            <w:r>
              <w:rPr>
                <w:rFonts w:eastAsia="宋体" w:cs="宋体" w:hint="eastAsia"/>
              </w:rPr>
              <w:t>、</w:t>
            </w:r>
            <w:r>
              <w:rPr>
                <w:rFonts w:eastAsia="宋体" w:cs="宋体"/>
              </w:rPr>
              <w:t>15</w:t>
            </w:r>
            <w:r>
              <w:rPr>
                <w:rFonts w:eastAsia="宋体" w:cs="宋体" w:hint="eastAsia"/>
              </w:rPr>
              <w:t>、</w:t>
            </w:r>
            <w:r>
              <w:rPr>
                <w:rFonts w:eastAsia="宋体" w:cs="宋体"/>
              </w:rPr>
              <w:t>23</w:t>
            </w:r>
            <w:r>
              <w:rPr>
                <w:rFonts w:eastAsia="宋体" w:cs="宋体" w:hint="eastAsia"/>
              </w:rPr>
              <w:t>、</w:t>
            </w:r>
            <w:r>
              <w:rPr>
                <w:rFonts w:eastAsia="宋体" w:cs="宋体"/>
              </w:rPr>
              <w:t>31</w:t>
            </w:r>
            <w:r>
              <w:rPr>
                <w:rFonts w:eastAsia="宋体" w:cs="宋体" w:hint="eastAsia"/>
              </w:rPr>
              <w:t>、</w:t>
            </w:r>
            <w:r>
              <w:rPr>
                <w:rFonts w:eastAsia="宋体" w:cs="宋体"/>
              </w:rPr>
              <w:t>39</w:t>
            </w:r>
            <w:r>
              <w:rPr>
                <w:rFonts w:eastAsia="宋体" w:cs="宋体" w:hint="eastAsia"/>
              </w:rPr>
              <w:t>、</w:t>
            </w:r>
            <w:r>
              <w:rPr>
                <w:rFonts w:eastAsia="宋体" w:cs="宋体"/>
              </w:rPr>
              <w:t xml:space="preserve">50 </w:t>
            </w:r>
            <w:r>
              <w:rPr>
                <w:rFonts w:eastAsia="宋体" w:cs="宋体" w:hint="eastAsia"/>
              </w:rPr>
              <w:t>项各</w:t>
            </w:r>
            <w:r>
              <w:rPr>
                <w:rFonts w:eastAsia="宋体" w:cs="宋体"/>
              </w:rPr>
              <w:t xml:space="preserve">1 </w:t>
            </w:r>
            <w:r>
              <w:rPr>
                <w:rFonts w:eastAsia="宋体" w:cs="宋体" w:hint="eastAsia"/>
              </w:rPr>
              <w:t>个</w:t>
            </w:r>
            <w:r>
              <w:rPr>
                <w:rFonts w:eastAsia="宋体" w:cs="宋体"/>
              </w:rPr>
              <w:t>；</w:t>
            </w:r>
            <w:r>
              <w:rPr>
                <w:rFonts w:eastAsia="宋体" w:cs="宋体" w:hint="eastAsia"/>
              </w:rPr>
              <w:t>第</w:t>
            </w:r>
            <w:r>
              <w:rPr>
                <w:rFonts w:eastAsia="宋体" w:cs="宋体"/>
              </w:rPr>
              <w:t>8</w:t>
            </w:r>
            <w:r>
              <w:rPr>
                <w:rFonts w:eastAsia="宋体" w:cs="宋体" w:hint="eastAsia"/>
              </w:rPr>
              <w:t>、</w:t>
            </w:r>
            <w:r>
              <w:rPr>
                <w:rFonts w:eastAsia="宋体" w:cs="宋体"/>
              </w:rPr>
              <w:t>9</w:t>
            </w:r>
            <w:r>
              <w:rPr>
                <w:rFonts w:eastAsia="宋体" w:cs="宋体" w:hint="eastAsia"/>
              </w:rPr>
              <w:t>、</w:t>
            </w:r>
            <w:r>
              <w:rPr>
                <w:rFonts w:eastAsia="宋体" w:cs="宋体"/>
              </w:rPr>
              <w:t>11</w:t>
            </w:r>
            <w:r>
              <w:rPr>
                <w:rFonts w:eastAsia="宋体" w:cs="宋体" w:hint="eastAsia"/>
              </w:rPr>
              <w:t>、</w:t>
            </w:r>
            <w:r>
              <w:rPr>
                <w:rFonts w:eastAsia="宋体" w:cs="宋体"/>
              </w:rPr>
              <w:t>12</w:t>
            </w:r>
            <w:r>
              <w:rPr>
                <w:rFonts w:eastAsia="宋体" w:cs="宋体" w:hint="eastAsia"/>
              </w:rPr>
              <w:t>、</w:t>
            </w:r>
            <w:r>
              <w:rPr>
                <w:rFonts w:eastAsia="宋体" w:cs="宋体"/>
              </w:rPr>
              <w:t>16</w:t>
            </w:r>
            <w:r>
              <w:rPr>
                <w:rFonts w:eastAsia="宋体" w:cs="宋体" w:hint="eastAsia"/>
              </w:rPr>
              <w:t>、</w:t>
            </w:r>
            <w:r>
              <w:rPr>
                <w:rFonts w:eastAsia="宋体" w:cs="宋体"/>
              </w:rPr>
              <w:t>17</w:t>
            </w:r>
            <w:r>
              <w:rPr>
                <w:rFonts w:eastAsia="宋体" w:cs="宋体" w:hint="eastAsia"/>
              </w:rPr>
              <w:t>、</w:t>
            </w:r>
            <w:r>
              <w:rPr>
                <w:rFonts w:eastAsia="宋体" w:cs="宋体"/>
              </w:rPr>
              <w:t>19</w:t>
            </w:r>
            <w:r>
              <w:rPr>
                <w:rFonts w:eastAsia="宋体" w:cs="宋体" w:hint="eastAsia"/>
              </w:rPr>
              <w:t>、</w:t>
            </w:r>
            <w:r>
              <w:rPr>
                <w:rFonts w:eastAsia="宋体" w:cs="宋体"/>
              </w:rPr>
              <w:t>20</w:t>
            </w:r>
            <w:r>
              <w:rPr>
                <w:rFonts w:eastAsia="宋体" w:cs="宋体" w:hint="eastAsia"/>
              </w:rPr>
              <w:t>、</w:t>
            </w:r>
            <w:r>
              <w:rPr>
                <w:rFonts w:eastAsia="宋体" w:cs="宋体"/>
              </w:rPr>
              <w:t>24</w:t>
            </w:r>
            <w:r>
              <w:rPr>
                <w:rFonts w:eastAsia="宋体" w:cs="宋体" w:hint="eastAsia"/>
              </w:rPr>
              <w:t>、</w:t>
            </w:r>
            <w:r>
              <w:rPr>
                <w:rFonts w:eastAsia="宋体" w:cs="宋体"/>
              </w:rPr>
              <w:t>25</w:t>
            </w:r>
            <w:r>
              <w:rPr>
                <w:rFonts w:eastAsia="宋体" w:cs="宋体" w:hint="eastAsia"/>
              </w:rPr>
              <w:t>、</w:t>
            </w:r>
            <w:r>
              <w:rPr>
                <w:rFonts w:eastAsia="宋体" w:cs="宋体"/>
              </w:rPr>
              <w:t>27</w:t>
            </w:r>
            <w:r>
              <w:rPr>
                <w:rFonts w:eastAsia="宋体" w:cs="宋体" w:hint="eastAsia"/>
              </w:rPr>
              <w:t>、</w:t>
            </w:r>
            <w:r>
              <w:rPr>
                <w:rFonts w:eastAsia="宋体" w:cs="宋体"/>
              </w:rPr>
              <w:t>28</w:t>
            </w:r>
            <w:r>
              <w:rPr>
                <w:rFonts w:eastAsia="宋体" w:cs="宋体" w:hint="eastAsia"/>
              </w:rPr>
              <w:t>、</w:t>
            </w:r>
            <w:r>
              <w:rPr>
                <w:rFonts w:eastAsia="宋体" w:cs="宋体"/>
              </w:rPr>
              <w:t>32</w:t>
            </w:r>
            <w:r>
              <w:rPr>
                <w:rFonts w:eastAsia="宋体" w:cs="宋体" w:hint="eastAsia"/>
              </w:rPr>
              <w:t>、</w:t>
            </w:r>
            <w:r>
              <w:rPr>
                <w:rFonts w:eastAsia="宋体" w:cs="宋体"/>
              </w:rPr>
              <w:t>33</w:t>
            </w:r>
            <w:r>
              <w:rPr>
                <w:rFonts w:eastAsia="宋体" w:cs="宋体" w:hint="eastAsia"/>
              </w:rPr>
              <w:t>、</w:t>
            </w:r>
            <w:r>
              <w:rPr>
                <w:rFonts w:eastAsia="宋体" w:cs="宋体"/>
              </w:rPr>
              <w:t>35</w:t>
            </w:r>
            <w:r>
              <w:rPr>
                <w:rFonts w:eastAsia="宋体" w:cs="宋体" w:hint="eastAsia"/>
              </w:rPr>
              <w:t>、</w:t>
            </w:r>
            <w:r>
              <w:rPr>
                <w:rFonts w:eastAsia="宋体" w:cs="宋体"/>
              </w:rPr>
              <w:t>36</w:t>
            </w:r>
            <w:r>
              <w:rPr>
                <w:rFonts w:eastAsia="宋体" w:cs="宋体" w:hint="eastAsia"/>
              </w:rPr>
              <w:t>、</w:t>
            </w:r>
            <w:r>
              <w:rPr>
                <w:rFonts w:eastAsia="宋体" w:cs="宋体"/>
              </w:rPr>
              <w:t>40</w:t>
            </w:r>
            <w:r>
              <w:rPr>
                <w:rFonts w:eastAsia="宋体" w:cs="宋体" w:hint="eastAsia"/>
              </w:rPr>
              <w:t>、</w:t>
            </w:r>
            <w:r>
              <w:rPr>
                <w:rFonts w:eastAsia="宋体" w:cs="宋体"/>
              </w:rPr>
              <w:t>41</w:t>
            </w:r>
            <w:r>
              <w:rPr>
                <w:rFonts w:eastAsia="宋体" w:cs="宋体" w:hint="eastAsia"/>
              </w:rPr>
              <w:t>、</w:t>
            </w:r>
            <w:r>
              <w:rPr>
                <w:rFonts w:eastAsia="宋体" w:cs="宋体"/>
              </w:rPr>
              <w:t>43</w:t>
            </w:r>
            <w:r>
              <w:rPr>
                <w:rFonts w:eastAsia="宋体" w:cs="宋体" w:hint="eastAsia"/>
              </w:rPr>
              <w:t>、</w:t>
            </w:r>
            <w:r>
              <w:rPr>
                <w:rFonts w:eastAsia="宋体" w:cs="宋体"/>
              </w:rPr>
              <w:t>44</w:t>
            </w:r>
            <w:r>
              <w:rPr>
                <w:rFonts w:eastAsia="宋体" w:cs="宋体" w:hint="eastAsia"/>
              </w:rPr>
              <w:t>、</w:t>
            </w:r>
            <w:r>
              <w:rPr>
                <w:rFonts w:eastAsia="宋体" w:cs="宋体"/>
              </w:rPr>
              <w:t>47</w:t>
            </w:r>
            <w:r>
              <w:rPr>
                <w:rFonts w:eastAsia="宋体" w:cs="宋体" w:hint="eastAsia"/>
              </w:rPr>
              <w:t>、</w:t>
            </w:r>
            <w:r>
              <w:rPr>
                <w:rFonts w:eastAsia="宋体" w:cs="宋体"/>
              </w:rPr>
              <w:t xml:space="preserve">49 </w:t>
            </w:r>
            <w:r>
              <w:rPr>
                <w:rFonts w:eastAsia="宋体" w:cs="宋体" w:hint="eastAsia"/>
              </w:rPr>
              <w:t>项各</w:t>
            </w:r>
            <w:r>
              <w:rPr>
                <w:rFonts w:eastAsia="宋体" w:cs="宋体"/>
              </w:rPr>
              <w:t xml:space="preserve">2 </w:t>
            </w:r>
            <w:r>
              <w:rPr>
                <w:rFonts w:eastAsia="宋体" w:cs="宋体" w:hint="eastAsia"/>
              </w:rPr>
              <w:t>个</w:t>
            </w:r>
            <w:r>
              <w:rPr>
                <w:rFonts w:eastAsia="宋体" w:cs="宋体"/>
              </w:rPr>
              <w:t>；</w:t>
            </w:r>
            <w:r>
              <w:rPr>
                <w:rFonts w:eastAsia="宋体" w:cs="宋体" w:hint="eastAsia"/>
              </w:rPr>
              <w:t>第</w:t>
            </w:r>
            <w:r>
              <w:rPr>
                <w:rFonts w:eastAsia="宋体" w:cs="宋体"/>
              </w:rPr>
              <w:t>1</w:t>
            </w:r>
            <w:r>
              <w:rPr>
                <w:rFonts w:eastAsia="宋体" w:cs="宋体" w:hint="eastAsia"/>
              </w:rPr>
              <w:t>、</w:t>
            </w:r>
            <w:r>
              <w:rPr>
                <w:rFonts w:eastAsia="宋体" w:cs="宋体"/>
              </w:rPr>
              <w:t>4</w:t>
            </w:r>
            <w:r>
              <w:rPr>
                <w:rFonts w:eastAsia="宋体" w:cs="宋体" w:hint="eastAsia"/>
              </w:rPr>
              <w:t>、</w:t>
            </w:r>
            <w:r>
              <w:rPr>
                <w:rFonts w:eastAsia="宋体" w:cs="宋体"/>
              </w:rPr>
              <w:t>6</w:t>
            </w:r>
            <w:r>
              <w:rPr>
                <w:rFonts w:eastAsia="宋体" w:cs="宋体" w:hint="eastAsia"/>
              </w:rPr>
              <w:t>、</w:t>
            </w:r>
            <w:r>
              <w:rPr>
                <w:rFonts w:eastAsia="宋体" w:cs="宋体"/>
              </w:rPr>
              <w:t>14</w:t>
            </w:r>
            <w:r>
              <w:rPr>
                <w:rFonts w:eastAsia="宋体" w:cs="宋体" w:hint="eastAsia"/>
              </w:rPr>
              <w:t>、</w:t>
            </w:r>
            <w:r>
              <w:rPr>
                <w:rFonts w:eastAsia="宋体" w:cs="宋体"/>
              </w:rPr>
              <w:t>22</w:t>
            </w:r>
            <w:r>
              <w:rPr>
                <w:rFonts w:eastAsia="宋体" w:cs="宋体" w:hint="eastAsia"/>
              </w:rPr>
              <w:t>、</w:t>
            </w:r>
            <w:r>
              <w:rPr>
                <w:rFonts w:eastAsia="宋体" w:cs="宋体"/>
              </w:rPr>
              <w:t>30</w:t>
            </w:r>
            <w:r>
              <w:rPr>
                <w:rFonts w:eastAsia="宋体" w:cs="宋体" w:hint="eastAsia"/>
              </w:rPr>
              <w:t>、</w:t>
            </w:r>
            <w:r>
              <w:rPr>
                <w:rFonts w:eastAsia="宋体" w:cs="宋体"/>
              </w:rPr>
              <w:t>38</w:t>
            </w:r>
            <w:r>
              <w:rPr>
                <w:rFonts w:eastAsia="宋体" w:cs="宋体" w:hint="eastAsia"/>
              </w:rPr>
              <w:t>、</w:t>
            </w:r>
            <w:r>
              <w:rPr>
                <w:rFonts w:eastAsia="宋体" w:cs="宋体"/>
              </w:rPr>
              <w:t>46</w:t>
            </w:r>
            <w:r>
              <w:rPr>
                <w:rFonts w:eastAsia="宋体" w:cs="宋体" w:hint="eastAsia"/>
              </w:rPr>
              <w:t>、</w:t>
            </w:r>
            <w:r>
              <w:rPr>
                <w:rFonts w:eastAsia="宋体" w:cs="宋体"/>
              </w:rPr>
              <w:t>48</w:t>
            </w:r>
            <w:r>
              <w:rPr>
                <w:rFonts w:eastAsia="宋体" w:cs="宋体" w:hint="eastAsia"/>
              </w:rPr>
              <w:t>、</w:t>
            </w:r>
            <w:r>
              <w:rPr>
                <w:rFonts w:eastAsia="宋体" w:cs="宋体"/>
              </w:rPr>
              <w:t>52</w:t>
            </w:r>
            <w:r>
              <w:rPr>
                <w:rFonts w:eastAsia="宋体" w:cs="宋体" w:hint="eastAsia"/>
              </w:rPr>
              <w:t>项各</w:t>
            </w:r>
            <w:r>
              <w:rPr>
                <w:rFonts w:eastAsia="宋体" w:cs="宋体"/>
              </w:rPr>
              <w:t xml:space="preserve">3 </w:t>
            </w:r>
            <w:r>
              <w:rPr>
                <w:rFonts w:eastAsia="宋体" w:cs="宋体" w:hint="eastAsia"/>
              </w:rPr>
              <w:t>个</w:t>
            </w:r>
            <w:r>
              <w:rPr>
                <w:rFonts w:eastAsia="宋体" w:cs="宋体"/>
              </w:rPr>
              <w:t>；</w:t>
            </w:r>
            <w:r>
              <w:rPr>
                <w:rFonts w:eastAsia="宋体" w:cs="宋体" w:hint="eastAsia"/>
              </w:rPr>
              <w:t>第</w:t>
            </w:r>
            <w:r>
              <w:rPr>
                <w:rFonts w:eastAsia="宋体" w:cs="宋体"/>
              </w:rPr>
              <w:t>2</w:t>
            </w:r>
            <w:r>
              <w:rPr>
                <w:rFonts w:eastAsia="宋体" w:cs="宋体" w:hint="eastAsia"/>
              </w:rPr>
              <w:t>、</w:t>
            </w:r>
            <w:r>
              <w:rPr>
                <w:rFonts w:eastAsia="宋体" w:cs="宋体"/>
              </w:rPr>
              <w:t>10</w:t>
            </w:r>
            <w:r>
              <w:rPr>
                <w:rFonts w:eastAsia="宋体" w:cs="宋体" w:hint="eastAsia"/>
              </w:rPr>
              <w:t>、</w:t>
            </w:r>
            <w:r>
              <w:rPr>
                <w:rFonts w:eastAsia="宋体" w:cs="宋体"/>
              </w:rPr>
              <w:t>18</w:t>
            </w:r>
            <w:r>
              <w:rPr>
                <w:rFonts w:eastAsia="宋体" w:cs="宋体" w:hint="eastAsia"/>
              </w:rPr>
              <w:t>、</w:t>
            </w:r>
            <w:r>
              <w:rPr>
                <w:rFonts w:eastAsia="宋体" w:cs="宋体"/>
              </w:rPr>
              <w:t>26</w:t>
            </w:r>
            <w:r>
              <w:rPr>
                <w:rFonts w:eastAsia="宋体" w:cs="宋体" w:hint="eastAsia"/>
              </w:rPr>
              <w:t>、</w:t>
            </w:r>
            <w:r>
              <w:rPr>
                <w:rFonts w:eastAsia="宋体" w:cs="宋体"/>
              </w:rPr>
              <w:t>34</w:t>
            </w:r>
            <w:r>
              <w:rPr>
                <w:rFonts w:eastAsia="宋体" w:cs="宋体" w:hint="eastAsia"/>
              </w:rPr>
              <w:t>、</w:t>
            </w:r>
            <w:r>
              <w:rPr>
                <w:rFonts w:eastAsia="宋体" w:cs="宋体"/>
              </w:rPr>
              <w:t xml:space="preserve">42 </w:t>
            </w:r>
            <w:r>
              <w:rPr>
                <w:rFonts w:eastAsia="宋体" w:cs="宋体" w:hint="eastAsia"/>
              </w:rPr>
              <w:t>项各</w:t>
            </w:r>
            <w:r>
              <w:rPr>
                <w:rFonts w:eastAsia="宋体" w:cs="宋体"/>
              </w:rPr>
              <w:t xml:space="preserve">4 </w:t>
            </w:r>
            <w:r>
              <w:rPr>
                <w:rFonts w:eastAsia="宋体" w:cs="宋体" w:hint="eastAsia"/>
              </w:rPr>
              <w:t>个</w:t>
            </w:r>
            <w:r>
              <w:rPr>
                <w:rFonts w:eastAsia="宋体" w:cs="宋体"/>
              </w:rPr>
              <w:t>；</w:t>
            </w:r>
            <w:r>
              <w:rPr>
                <w:rFonts w:eastAsia="宋体" w:cs="宋体" w:hint="eastAsia"/>
              </w:rPr>
              <w:t>第</w:t>
            </w:r>
            <w:r>
              <w:rPr>
                <w:rFonts w:eastAsia="宋体" w:cs="宋体"/>
              </w:rPr>
              <w:t xml:space="preserve">3 </w:t>
            </w:r>
            <w:r>
              <w:rPr>
                <w:rFonts w:eastAsia="宋体" w:cs="宋体" w:hint="eastAsia"/>
              </w:rPr>
              <w:t>项</w:t>
            </w:r>
            <w:r>
              <w:rPr>
                <w:rFonts w:eastAsia="宋体" w:cs="宋体"/>
              </w:rPr>
              <w:t xml:space="preserve">7 </w:t>
            </w:r>
            <w:r>
              <w:rPr>
                <w:rFonts w:eastAsia="宋体" w:cs="宋体" w:hint="eastAsia"/>
              </w:rPr>
              <w:t>个</w:t>
            </w:r>
            <w:r>
              <w:rPr>
                <w:rFonts w:eastAsia="宋体" w:cs="宋体"/>
              </w:rPr>
              <w:t>。</w:t>
            </w:r>
          </w:p>
          <w:p>
            <w:pPr>
              <w:pStyle w:val="200"/>
              <w:tabs>
                <w:tab w:val="left" w:pos="0"/>
              </w:tabs>
              <w:autoSpaceDE w:val="0"/>
              <w:autoSpaceDN w:val="0"/>
              <w:adjustRightInd w:val="0"/>
              <w:spacing w:line="240" w:lineRule="auto"/>
              <w:ind w:firstLine="0"/>
              <w:jc w:val="left"/>
              <w:textAlignment w:val="baseline"/>
              <w:rPr>
                <w:rFonts w:eastAsia="宋体" w:cs="宋体"/>
              </w:rPr>
            </w:pPr>
            <w:r>
              <w:rPr>
                <w:rFonts w:eastAsia="宋体" w:cs="宋体" w:hint="eastAsia"/>
              </w:rPr>
              <w:t>七、服务要求（</w:t>
            </w:r>
            <w:r>
              <w:rPr>
                <w:rFonts w:eastAsia="宋体" w:cs="宋体"/>
              </w:rPr>
              <w:t xml:space="preserve">3 </w:t>
            </w:r>
            <w:r>
              <w:rPr>
                <w:rFonts w:eastAsia="宋体" w:cs="宋体" w:hint="eastAsia"/>
              </w:rPr>
              <w:t>个）：第</w:t>
            </w:r>
            <w:r>
              <w:rPr>
                <w:rFonts w:eastAsia="宋体" w:cs="宋体"/>
              </w:rPr>
              <w:t>6</w:t>
            </w:r>
            <w:r>
              <w:rPr>
                <w:rFonts w:eastAsia="宋体" w:cs="宋体" w:hint="eastAsia"/>
              </w:rPr>
              <w:t>、</w:t>
            </w:r>
            <w:r>
              <w:rPr>
                <w:rFonts w:eastAsia="宋体" w:cs="宋体"/>
              </w:rPr>
              <w:t>7</w:t>
            </w:r>
            <w:r>
              <w:rPr>
                <w:rFonts w:eastAsia="宋体" w:cs="宋体" w:hint="eastAsia"/>
              </w:rPr>
              <w:t>、</w:t>
            </w:r>
            <w:r>
              <w:rPr>
                <w:rFonts w:eastAsia="宋体" w:cs="宋体"/>
              </w:rPr>
              <w:t>8</w:t>
            </w:r>
            <w:r>
              <w:rPr>
                <w:rFonts w:eastAsia="宋体" w:cs="宋体" w:hint="eastAsia"/>
              </w:rPr>
              <w:t>项各</w:t>
            </w:r>
            <w:r>
              <w:rPr>
                <w:rFonts w:eastAsia="宋体" w:cs="宋体"/>
              </w:rPr>
              <w:t xml:space="preserve">1 </w:t>
            </w:r>
            <w:r>
              <w:rPr>
                <w:rFonts w:eastAsia="宋体" w:cs="宋体" w:hint="eastAsia"/>
              </w:rPr>
              <w:t>个。</w:t>
            </w:r>
          </w:p>
          <w:p>
            <w:pPr>
              <w:pStyle w:val="200"/>
              <w:tabs>
                <w:tab w:val="left" w:pos="0"/>
              </w:tabs>
              <w:autoSpaceDE w:val="0"/>
              <w:autoSpaceDN w:val="0"/>
              <w:adjustRightInd w:val="0"/>
              <w:spacing w:line="240" w:lineRule="auto"/>
              <w:ind w:firstLine="0"/>
              <w:jc w:val="left"/>
              <w:textAlignment w:val="baseline"/>
              <w:rPr>
                <w:rFonts w:eastAsia="宋体" w:cs="宋体"/>
              </w:rPr>
            </w:pPr>
            <w:r>
              <w:rPr>
                <w:rFonts w:eastAsia="宋体" w:cs="宋体" w:hint="eastAsia"/>
              </w:rPr>
              <w:t>八、实施要求（</w:t>
            </w:r>
            <w:r>
              <w:rPr>
                <w:rFonts w:eastAsia="宋体" w:cs="宋体"/>
              </w:rPr>
              <w:t>7</w:t>
            </w:r>
            <w:r>
              <w:rPr>
                <w:rFonts w:eastAsia="宋体" w:cs="宋体" w:hint="eastAsia"/>
              </w:rPr>
              <w:t>个）：第</w:t>
            </w:r>
            <w:r>
              <w:rPr>
                <w:rFonts w:eastAsia="宋体" w:cs="宋体"/>
              </w:rPr>
              <w:t xml:space="preserve">2 </w:t>
            </w:r>
            <w:r>
              <w:rPr>
                <w:rFonts w:eastAsia="宋体" w:cs="宋体" w:hint="eastAsia"/>
              </w:rPr>
              <w:t>至</w:t>
            </w:r>
            <w:r>
              <w:rPr>
                <w:rFonts w:eastAsia="宋体" w:cs="宋体"/>
              </w:rPr>
              <w:t xml:space="preserve">7项、第9 </w:t>
            </w:r>
            <w:r>
              <w:rPr>
                <w:rFonts w:eastAsia="宋体" w:cs="宋体" w:hint="eastAsia"/>
              </w:rPr>
              <w:t>项各</w:t>
            </w:r>
            <w:r>
              <w:rPr>
                <w:rFonts w:eastAsia="宋体" w:cs="宋体"/>
              </w:rPr>
              <w:t>1</w:t>
            </w:r>
            <w:r>
              <w:rPr>
                <w:rFonts w:eastAsia="宋体" w:cs="宋体" w:hint="eastAsia"/>
              </w:rPr>
              <w:t>个。</w:t>
            </w:r>
          </w:p>
        </w:tc>
      </w:tr>
    </w:tbl>
    <w:p>
      <w:pPr>
        <w:pStyle w:val="380"/>
        <w:rPr>
          <w:rFonts w:ascii="宋体" w:eastAsia="宋体"/>
          <w:b/>
          <w:bCs/>
          <w:color w:val="000000"/>
        </w:rPr>
      </w:pPr>
      <w:r>
        <w:rPr>
          <w:rFonts w:ascii="宋体" w:eastAsia="宋体" w:hint="eastAsia"/>
          <w:b/>
          <w:bCs/>
          <w:color w:val="000000"/>
        </w:rPr>
        <w:t>备注：</w:t>
      </w:r>
    </w:p>
    <w:p>
      <w:pPr>
        <w:pStyle w:val="380"/>
        <w:rPr>
          <w:rFonts w:ascii="宋体" w:eastAsia="宋体"/>
          <w:color w:val="000000"/>
        </w:rPr>
      </w:pPr>
      <w:r>
        <w:rPr>
          <w:rFonts w:ascii="宋体" w:eastAsia="宋体" w:hint="eastAsia"/>
          <w:color w:val="000000"/>
        </w:rPr>
        <w:t>①表格内容填写完整、规范，确保无缺漏项。</w:t>
      </w:r>
    </w:p>
    <w:p>
      <w:pPr>
        <w:pStyle w:val="390"/>
        <w:rPr>
          <w:rFonts w:ascii="宋体" w:eastAsia="宋体"/>
          <w:color w:val="000000"/>
        </w:rPr>
      </w:pPr>
      <w:r>
        <w:rPr>
          <w:rFonts w:ascii="宋体" w:eastAsia="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90"/>
        <w:rPr>
          <w:rFonts w:ascii="宋体" w:eastAsia="宋体"/>
          <w:color w:val="000000"/>
        </w:rPr>
      </w:pPr>
      <w:r>
        <w:rPr>
          <w:rFonts w:ascii="宋体" w:eastAsia="宋体" w:hint="eastAsia"/>
          <w:color w:val="000000"/>
        </w:rPr>
        <w:t>③需统计重要指标项和一般指标项数量，并分别填入《技术服务需求响应程度表》。</w:t>
      </w:r>
    </w:p>
    <w:p>
      <w:pPr>
        <w:pStyle w:val="180"/>
        <w:ind w:left="482"/>
        <w:rPr>
          <w:rFonts w:ascii="宋体" w:eastAsia="宋体"/>
        </w:rPr>
      </w:pPr>
    </w:p>
    <w:p>
      <w:pPr>
        <w:rPr>
          <w:rFonts w:ascii="宋体"/>
        </w:rPr>
      </w:pPr>
    </w:p>
    <w:p>
      <w:pPr>
        <w:pStyle w:val="84"/>
        <w:rPr>
          <w:rFonts w:ascii="宋体" w:eastAsia="宋体"/>
          <w:sz w:val="21"/>
          <w:szCs w:val="21"/>
        </w:rPr>
      </w:pPr>
    </w:p>
    <w:p>
      <w:pPr>
        <w:pStyle w:val="Heading1"/>
      </w:pPr>
      <w:bookmarkStart w:id="31" w:name="_Toc71168517"/>
      <w:bookmarkEnd w:id="30"/>
      <w:r>
        <w:rPr>
          <w:rFonts w:hint="eastAsia"/>
          <w:highlight w:val="white"/>
        </w:rPr>
        <w:t>第</w:t>
      </w:r>
      <w:r>
        <w:rPr>
          <w:highlight w:val="white"/>
        </w:rPr>
        <w:t>四</w:t>
      </w:r>
      <w:r>
        <w:rPr>
          <w:rFonts w:hint="eastAsia"/>
          <w:highlight w:val="white"/>
        </w:rPr>
        <w:t>部分  评审标准</w:t>
      </w:r>
      <w:bookmarkEnd w:id="31"/>
    </w:p>
    <w:p>
      <w:bookmarkStart w:id="32" w:name="插入_评审标准"/>
      <w:r>
        <w:t>包1</w:t>
      </w:r>
    </w:p>
    <w:p>
      <w:r>
        <w:t>符合性审查指标</w:t>
      </w:r>
    </w:p>
    <w:tbl>
      <w:tblPr>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42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1000"/>
        <w:gridCol w:w="6654"/>
        <w:gridCol w:w="1166"/>
      </w:tblGrid>
      <w:tr>
        <w:tblPrEx>
          <w:tblW w:w="542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1000" w:type="dxa"/>
          </w:tcPr>
          <w:p>
            <w:r>
              <w:t>评审因素</w:t>
            </w:r>
          </w:p>
        </w:tc>
        <w:tc>
          <w:tcPr>
            <w:tcW w:w="6654" w:type="dxa"/>
          </w:tcPr>
          <w:p>
            <w:r>
              <w:t>评分标准说明</w:t>
            </w:r>
          </w:p>
        </w:tc>
        <w:tc>
          <w:tcPr>
            <w:tcW w:w="1166" w:type="dxa"/>
          </w:tcPr>
          <w:p>
            <w:r>
              <w:t>分值范围</w:t>
            </w:r>
          </w:p>
        </w:tc>
      </w:tr>
      <w:tr>
        <w:tblPrEx>
          <w:tblW w:w="5420" w:type="pct"/>
          <w:jc w:val="left"/>
          <w:tblCellMar>
            <w:top w:w="0" w:type="dxa"/>
            <w:left w:w="108" w:type="dxa"/>
            <w:bottom w:w="0" w:type="dxa"/>
            <w:right w:w="108" w:type="dxa"/>
          </w:tblCellMar>
        </w:tblPrEx>
        <w:trPr>
          <w:jc w:val="left"/>
        </w:trPr>
        <w:tc>
          <w:tcPr>
            <w:tcW w:w="426" w:type="dxa"/>
          </w:tcPr>
          <w:p>
            <w:r>
              <w:t>价格部分</w:t>
            </w:r>
          </w:p>
        </w:tc>
        <w:tc>
          <w:tcPr>
            <w:tcW w:w="1000" w:type="dxa"/>
          </w:tcPr>
          <w:p>
            <w:r>
              <w:t>投标报价得分</w:t>
            </w:r>
          </w:p>
        </w:tc>
        <w:tc>
          <w:tcPr>
            <w:tcW w:w="6654"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1166" w:type="dxa"/>
          </w:tcPr>
          <w:p>
            <w:r>
              <w:t>区间打分(0-10)</w:t>
            </w:r>
          </w:p>
        </w:tc>
      </w:tr>
      <w:tr>
        <w:tblPrEx>
          <w:tblW w:w="5420" w:type="pct"/>
          <w:jc w:val="left"/>
          <w:tblCellMar>
            <w:top w:w="0" w:type="dxa"/>
            <w:left w:w="108" w:type="dxa"/>
            <w:bottom w:w="0" w:type="dxa"/>
            <w:right w:w="108" w:type="dxa"/>
          </w:tblCellMar>
        </w:tblPrEx>
        <w:trPr>
          <w:jc w:val="left"/>
        </w:trPr>
        <w:tc>
          <w:tcPr>
            <w:tcW w:w="426" w:type="dxa"/>
            <w:vMerge w:val="restart"/>
          </w:tcPr>
          <w:p>
            <w:r>
              <w:t>商务部分</w:t>
            </w:r>
          </w:p>
        </w:tc>
        <w:tc>
          <w:tcPr>
            <w:tcW w:w="1000" w:type="dxa"/>
          </w:tcPr>
          <w:p>
            <w:r>
              <w:t>综合实力</w:t>
            </w:r>
          </w:p>
        </w:tc>
        <w:tc>
          <w:tcPr>
            <w:tcW w:w="6654" w:type="dxa"/>
          </w:tcPr>
          <w:p>
            <w:r>
              <w:t xml:space="preserve">1.投标人具有ISO20000信息技术服务管理体系认证证书得0.5分，否则不得分。            </w:t>
            </w:r>
          </w:p>
          <w:p>
            <w:r>
              <w:t xml:space="preserve">2.投标人具有ISO27001信息安全管理体系认证证书得0.5分，否则不得分。                      </w:t>
            </w:r>
          </w:p>
          <w:p/>
          <w:p>
            <w:r>
              <w:t>注：上述证书均需处于有效期内，否则不得分。需提供证书复印件并加盖投标人公章。</w:t>
            </w:r>
          </w:p>
        </w:tc>
        <w:tc>
          <w:tcPr>
            <w:tcW w:w="1166" w:type="dxa"/>
          </w:tcPr>
          <w:p>
            <w:r>
              <w:t>勾选打分(0;0.5;1)</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投标文件编制质量、对招标文件的响应程度</w:t>
            </w:r>
          </w:p>
        </w:tc>
        <w:tc>
          <w:tcPr>
            <w:tcW w:w="6654" w:type="dxa"/>
          </w:tcPr>
          <w:p>
            <w:r>
              <w:t xml:space="preserve">电子投标文件的逐项响应、定位和绑定清晰准确得1.3分；             有一项未响应或定位和绑定模糊、有偏差的得0.7分；          </w:t>
            </w:r>
          </w:p>
          <w:p>
            <w:r>
              <w:t>有两项或两项以上未响应或定位和绑定模糊、有偏差的得0分。</w:t>
            </w:r>
          </w:p>
        </w:tc>
        <w:tc>
          <w:tcPr>
            <w:tcW w:w="1166" w:type="dxa"/>
          </w:tcPr>
          <w:p>
            <w:r>
              <w:t>勾选打分(0;0.7;1.3)</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投标人销售业绩</w:t>
            </w:r>
          </w:p>
        </w:tc>
        <w:tc>
          <w:tcPr>
            <w:tcW w:w="6654" w:type="dxa"/>
          </w:tcPr>
          <w:p>
            <w:r>
              <w:t xml:space="preserve">投标人提供 2022年5 月1 日起至本项目招标公告发布之日止（以合同签订日期为准），与本项目同类技术支持服务项目业绩相关材料。每提供一个有效业绩得1 分，最多得5分。     </w:t>
            </w:r>
          </w:p>
          <w:p/>
          <w:p>
            <w:r>
              <w:t xml:space="preserve">注：①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②提供的业绩材料复印件须字迹清晰，辨识无误；   </w:t>
            </w:r>
          </w:p>
          <w:p>
            <w:r>
              <w:t>③不符合上述要求或未按要求提供有效证明文件的业绩在评审时将不予以承认。</w:t>
            </w:r>
          </w:p>
        </w:tc>
        <w:tc>
          <w:tcPr>
            <w:tcW w:w="1166" w:type="dxa"/>
          </w:tcPr>
          <w:p>
            <w:r>
              <w:t>勾选打分(0;1;2;3;4;5)</w:t>
            </w:r>
          </w:p>
        </w:tc>
      </w:tr>
      <w:tr>
        <w:tblPrEx>
          <w:tblW w:w="5420" w:type="pct"/>
          <w:jc w:val="left"/>
          <w:tblCellMar>
            <w:top w:w="0" w:type="dxa"/>
            <w:left w:w="108" w:type="dxa"/>
            <w:bottom w:w="0" w:type="dxa"/>
            <w:right w:w="108" w:type="dxa"/>
          </w:tblCellMar>
        </w:tblPrEx>
        <w:trPr>
          <w:jc w:val="left"/>
        </w:trPr>
        <w:tc>
          <w:tcPr>
            <w:tcW w:w="426" w:type="dxa"/>
            <w:vMerge w:val="restart"/>
          </w:tcPr>
          <w:p>
            <w:r>
              <w:t>技术部分</w:t>
            </w:r>
          </w:p>
        </w:tc>
        <w:tc>
          <w:tcPr>
            <w:tcW w:w="1000" w:type="dxa"/>
          </w:tcPr>
          <w:p>
            <w:r>
              <w:t>技术服务需求响应程度</w:t>
            </w:r>
          </w:p>
        </w:tc>
        <w:tc>
          <w:tcPr>
            <w:tcW w:w="6654" w:type="dxa"/>
          </w:tcPr>
          <w:p>
            <w:r>
              <w:t>完全满足招标文件项目需求书相关要求得63.2分，其中，标注▲重要指标项每有一个不满足扣</w:t>
            </w:r>
            <w:r>
              <w:rPr>
                <w:color w:val="000000"/>
              </w:rPr>
              <w:t>0.7分</w:t>
            </w:r>
            <w:r>
              <w:t xml:space="preserve">，一般指标项每有一个不满足扣0.3分。     </w:t>
            </w:r>
          </w:p>
          <w:p/>
          <w:p>
            <w:r>
              <w:t xml:space="preserve">重要指标项共38个，分别为：           </w:t>
            </w:r>
          </w:p>
          <w:p>
            <w:r>
              <w:t xml:space="preserve">六、货物或服务指标要求（31个）：第5、13、21、29、37、45、53项各4个，第51项3个。  </w:t>
            </w:r>
          </w:p>
          <w:p>
            <w:r>
              <w:t xml:space="preserve">七、服务要求（6个）：第2、3、5项各2个。  </w:t>
            </w:r>
          </w:p>
          <w:p>
            <w:r>
              <w:t xml:space="preserve">八、实施要求（1个）：第1项1个。   </w:t>
            </w:r>
          </w:p>
          <w:p/>
          <w:p>
            <w:r>
              <w:t xml:space="preserve">一般指标项共122个： 分别为：           </w:t>
            </w:r>
          </w:p>
          <w:p>
            <w:r>
              <w:t xml:space="preserve">五、集成需求（1个）：第2项1个。 </w:t>
            </w:r>
          </w:p>
          <w:p>
            <w:r>
              <w:t xml:space="preserve">六、货物或服务指标要求（111个）：第7、15、23、31、39、50 项各1 个；第8、9、11、12、16、17、19、20、24、25、27、28、32、33、35、36、40、41、43、44、47、49 项各2 个；第1、4、6、14、22、30、38、46、48、52项各3 个；第2、10、18、26、34、42 项各4 个；第3 项7 个。 </w:t>
            </w:r>
          </w:p>
          <w:p>
            <w:r>
              <w:t xml:space="preserve">七、服务要求（3 个）：第6、7、8项各1 个。 </w:t>
            </w:r>
          </w:p>
          <w:p>
            <w:r>
              <w:t>八、实施要求（7个）：第2 至7项、第9 项各1个。</w:t>
            </w:r>
          </w:p>
        </w:tc>
        <w:tc>
          <w:tcPr>
            <w:tcW w:w="1166" w:type="dxa"/>
          </w:tcPr>
          <w:p>
            <w:r>
              <w:t>区间打分(0-63.2)</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需求理解分析</w:t>
            </w:r>
          </w:p>
        </w:tc>
        <w:tc>
          <w:tcPr>
            <w:tcW w:w="6654" w:type="dxa"/>
          </w:tcPr>
          <w:p>
            <w:r>
              <w:t xml:space="preserve">投标人提供对本项目的需求理解分析，应涵盖以下内容：1）对项目的重点和难点的理解分析；2）有完整的设计思路；3）有完整的工作流程；4）提出高效运维措施。  </w:t>
            </w:r>
          </w:p>
          <w:p/>
          <w:p>
            <w:r>
              <w:t xml:space="preserve">需求理解分析科学周密，内容全面，完全契合项目实际，针对性可行性强，得3.9分。                </w:t>
            </w:r>
          </w:p>
          <w:p>
            <w:r>
              <w:t xml:space="preserve">需求理解分析内容完整，可以满足项目需要，针对性可行性较强，但需求理解分析内容（两个及以下）中有缺陷（缺陷包括：与事实不符、前后内容不一致、逻辑错误、不符合采购需求、内容有缺失等），得2.6分。                 </w:t>
            </w:r>
          </w:p>
          <w:p>
            <w:r>
              <w:t xml:space="preserve">需求理解分析内容有漏项，未完全包括上述内容要求，或三个及以上内容中存在缺陷，得1.3分。                  </w:t>
            </w:r>
          </w:p>
          <w:p>
            <w:r>
              <w:t>未提供需求理解分析或需求理解分析严重脱离项目实际，得0分。</w:t>
            </w:r>
          </w:p>
        </w:tc>
        <w:tc>
          <w:tcPr>
            <w:tcW w:w="1166" w:type="dxa"/>
          </w:tcPr>
          <w:p>
            <w:r>
              <w:t>勾选打分(0;1.3;2.6;3.9)</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技术方案</w:t>
            </w:r>
          </w:p>
        </w:tc>
        <w:tc>
          <w:tcPr>
            <w:tcW w:w="6654" w:type="dxa"/>
          </w:tcPr>
          <w:p>
            <w:r>
              <w:t xml:space="preserve">投标人提供本项目技术方案，涵盖以下内容：1）技术路线；2）变更方案；3）应急方案；4）安全管理方案；5）质量控制方案。   </w:t>
            </w:r>
          </w:p>
          <w:p/>
          <w:p>
            <w:r>
              <w:t xml:space="preserve">技术方案科学周密，内容全面，完全契合项目实际，针对性可行性强，得3.9分。                </w:t>
            </w:r>
          </w:p>
          <w:p>
            <w:r>
              <w:t xml:space="preserve">技术方案内容完整，可以满足项目需要，针对性可行性较强，但技术方案内容（两个及以下）中有缺陷（缺陷包括：与事实不符、前后内容不一致、逻辑错误、不符合采购需求、内容有缺失等），得2.6分。                 技术方案内容有漏项，未完全包括上述内容要求，或三个及以上内容中存在缺陷，得1.3分。                  </w:t>
            </w:r>
          </w:p>
          <w:p>
            <w:r>
              <w:t>未提供技术方案或技术方案严重脱离项目实际，得0分。</w:t>
            </w:r>
          </w:p>
        </w:tc>
        <w:tc>
          <w:tcPr>
            <w:tcW w:w="1166" w:type="dxa"/>
          </w:tcPr>
          <w:p>
            <w:r>
              <w:t>勾选打分(0;1.3;2.6;3.9)</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实施管理方案</w:t>
            </w:r>
          </w:p>
        </w:tc>
        <w:tc>
          <w:tcPr>
            <w:tcW w:w="6654" w:type="dxa"/>
          </w:tcPr>
          <w:p>
            <w:r>
              <w:t xml:space="preserve">投标人提供对本项目实施管理方案，涵盖以下内容：1）实施措施；2）实施方法；3）实施手段；4）实施流程。   </w:t>
            </w:r>
          </w:p>
          <w:p/>
          <w:p>
            <w:r>
              <w:t xml:space="preserve">实施管理方案科学周密，内容全面，完全契合项目实际，针对性可行性强，得3.9分。                </w:t>
            </w:r>
          </w:p>
          <w:p>
            <w:r>
              <w:t xml:space="preserve">实施管理方案内容完整，可以满足项目需要，针对性可行性较强，但方案内容（两个及以下）中有缺陷（缺陷包括：与事实不符、前后内容不一致、逻辑错误、不符合采购需求、内容有缺失等），得2.6分。                 实施管理方案内容有漏项，未完全包括上述内容要求，或三个及以上内容中存在缺陷，得1.3分。                   </w:t>
            </w:r>
          </w:p>
          <w:p>
            <w:r>
              <w:t>未提供实施管理方案或实施管理方案严重脱离项目实际，得0分。</w:t>
            </w:r>
          </w:p>
        </w:tc>
        <w:tc>
          <w:tcPr>
            <w:tcW w:w="1166" w:type="dxa"/>
          </w:tcPr>
          <w:p>
            <w:r>
              <w:t>勾选打分(0;1.3;2.6;3.9)</w:t>
            </w:r>
          </w:p>
        </w:tc>
      </w:tr>
      <w:tr>
        <w:tblPrEx>
          <w:tblW w:w="5420" w:type="pct"/>
          <w:jc w:val="left"/>
          <w:tblCellMar>
            <w:top w:w="0" w:type="dxa"/>
            <w:left w:w="108" w:type="dxa"/>
            <w:bottom w:w="0" w:type="dxa"/>
            <w:right w:w="108" w:type="dxa"/>
          </w:tblCellMar>
        </w:tblPrEx>
        <w:trPr>
          <w:jc w:val="left"/>
        </w:trPr>
        <w:tc>
          <w:tcPr>
            <w:tcW w:w="426" w:type="dxa"/>
            <w:vMerge w:val="restart"/>
          </w:tcPr>
          <w:p>
            <w:r>
              <w:t>服务部分</w:t>
            </w:r>
          </w:p>
        </w:tc>
        <w:tc>
          <w:tcPr>
            <w:tcW w:w="1000" w:type="dxa"/>
          </w:tcPr>
          <w:p>
            <w:r>
              <w:t>售后服务与技术支持方案</w:t>
            </w:r>
          </w:p>
        </w:tc>
        <w:tc>
          <w:tcPr>
            <w:tcW w:w="6654" w:type="dxa"/>
          </w:tcPr>
          <w:p>
            <w:r>
              <w:t xml:space="preserve">投标人提供对本项目售后服务与技术支持方案，涵盖以下内容：1）运维团队人员配置；2）应急维修时间安排；3）质保期外的维修服务收费标注；4）其他服务承诺。  </w:t>
            </w:r>
          </w:p>
          <w:p/>
          <w:p>
            <w:r>
              <w:t xml:space="preserve">售后服务与技术支持方案科学周密，内容全面，完全契合项目实际，针对性可行性强，得3.9分。                </w:t>
            </w:r>
          </w:p>
          <w:p>
            <w:r>
              <w:t xml:space="preserve">售后服务与技术支持方案内容完整，可以满足项目需要，针对性可行性较强，但方案内容（两个及以下）中有缺陷（缺陷包括：与事实不符、前后内容不一致、逻辑错误、不符合采购需求、内容有缺失等），得2.6分。                 </w:t>
            </w:r>
          </w:p>
          <w:p>
            <w:r>
              <w:t xml:space="preserve">售后服务与技术支持方案内容有漏项，未完全包括上述内容要求，或三个及以上内容中存在缺陷，得1.3分。                   </w:t>
            </w:r>
          </w:p>
          <w:p>
            <w:r>
              <w:t>未提供售后服务与技术支持方案或方案严重脱离项目实际，得0分。</w:t>
            </w:r>
          </w:p>
        </w:tc>
        <w:tc>
          <w:tcPr>
            <w:tcW w:w="1166" w:type="dxa"/>
          </w:tcPr>
          <w:p>
            <w:r>
              <w:t>勾选打分(0;1.3;2.6;3.9)</w:t>
            </w:r>
          </w:p>
        </w:tc>
      </w:tr>
      <w:tr>
        <w:tblPrEx>
          <w:tblW w:w="5420" w:type="pct"/>
          <w:jc w:val="left"/>
          <w:tblCellMar>
            <w:top w:w="0" w:type="dxa"/>
            <w:left w:w="108" w:type="dxa"/>
            <w:bottom w:w="0" w:type="dxa"/>
            <w:right w:w="108" w:type="dxa"/>
          </w:tblCellMar>
        </w:tblPrEx>
        <w:trPr>
          <w:jc w:val="left"/>
        </w:trPr>
        <w:tc>
          <w:tcPr>
            <w:tcW w:w="291" w:type="dxa"/>
            <w:vMerge/>
          </w:tcPr>
          <w:p/>
        </w:tc>
        <w:tc>
          <w:tcPr>
            <w:tcW w:w="1000" w:type="dxa"/>
          </w:tcPr>
          <w:p>
            <w:r>
              <w:t>培训方案</w:t>
            </w:r>
          </w:p>
        </w:tc>
        <w:tc>
          <w:tcPr>
            <w:tcW w:w="6654" w:type="dxa"/>
          </w:tcPr>
          <w:p>
            <w:r>
              <w:t xml:space="preserve">投标人提供对本项目培训方案，涵盖以下内容：1）培训安排；2）培训方式；3）培训时间节点；4）培训内容；5）培训课件。   </w:t>
            </w:r>
          </w:p>
          <w:p/>
          <w:p>
            <w:r>
              <w:t xml:space="preserve">培训方案科学周密，内容全面，完全契合项目实际，针对性可行性强，得3.9分。                </w:t>
            </w:r>
          </w:p>
          <w:p>
            <w:r>
              <w:t xml:space="preserve">培训方案内容完整，可以满足项目需要，针对性可行性较强，但方案内容（两个及以下）中有缺陷（缺陷包括：与事实不符、前后内容不一致、逻辑错误、不符合采购需求、内容有缺失等），得2.6分。                 培训方案内容有漏项，未完全包括上述内容要求，或三个及以上内容中存在缺陷，得1.3分。                   </w:t>
            </w:r>
          </w:p>
          <w:p>
            <w:r>
              <w:t>未提供培训方案或方案严重脱离项目实际，得0分。</w:t>
            </w:r>
          </w:p>
        </w:tc>
        <w:tc>
          <w:tcPr>
            <w:tcW w:w="1166" w:type="dxa"/>
          </w:tcPr>
          <w:p>
            <w:r>
              <w:t>勾选打分(0;1.3;2.6;3.9)</w:t>
            </w:r>
          </w:p>
        </w:tc>
      </w:tr>
    </w:tbl>
    <w:p>
      <w:pPr>
        <w:pStyle w:val="4910"/>
        <w:rPr>
          <w:rFonts w:ascii="Times New Roman" w:eastAsia="宋体" w:hAnsi="Times New Roman"/>
        </w:rPr>
      </w:pPr>
      <w:bookmarkEnd w:id="32"/>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r>
        <w:rPr>
          <w:rFonts w:ascii="Times New Roman" w:eastAsia="宋体" w:hAnsi="Times New Roman"/>
        </w:rPr>
        <w:t>2. 本项目专门面向中小企业采购，不执行小微企业价格扣除。</w:t>
      </w:r>
    </w:p>
    <w:p>
      <w:pPr>
        <w:pStyle w:val="14"/>
        <w:spacing w:line="360" w:lineRule="auto"/>
        <w:ind w:firstLine="480" w:firstLineChars="200"/>
        <w:rPr>
          <w:highlight w:val="white"/>
        </w:rPr>
      </w:pPr>
    </w:p>
    <w:p>
      <w:pPr>
        <w:pStyle w:val="Heading1"/>
        <w:rPr>
          <w:bCs/>
          <w:highlight w:val="white"/>
        </w:rPr>
      </w:pPr>
      <w:bookmarkStart w:id="33" w:name="_Toc71168518"/>
      <w:r>
        <w:rPr>
          <w:rFonts w:hint="eastAsia"/>
          <w:highlight w:val="white"/>
        </w:rPr>
        <w:t>第五部分  合同文本</w:t>
      </w:r>
      <w:bookmarkEnd w:id="33"/>
    </w:p>
    <w:p>
      <w:pPr>
        <w:pStyle w:val="100"/>
        <w:rPr>
          <w:rFonts w:eastAsia="黑体"/>
          <w:sz w:val="28"/>
        </w:rPr>
      </w:pPr>
      <w:bookmarkStart w:id="34" w:name="插入_TBWJGS_CONTRACT_0"/>
      <w:bookmarkStart w:id="35" w:name="插入_TBWJGS_CONTRACT"/>
    </w:p>
    <w:p>
      <w:pPr>
        <w:pStyle w:val="100"/>
        <w:rPr>
          <w:rFonts w:eastAsia="黑体"/>
          <w:sz w:val="28"/>
        </w:rPr>
      </w:pPr>
      <w:r>
        <w:rPr>
          <w:rFonts w:eastAsia="黑体" w:hint="eastAsia"/>
          <w:sz w:val="28"/>
        </w:rPr>
        <w:t>合同编号：</w:t>
      </w:r>
    </w:p>
    <w:p>
      <w:pPr>
        <w:pStyle w:val="100"/>
        <w:jc w:val="center"/>
        <w:rPr>
          <w:rFonts w:eastAsia="黑体"/>
          <w:sz w:val="52"/>
        </w:rPr>
      </w:pPr>
    </w:p>
    <w:p>
      <w:pPr>
        <w:pStyle w:val="100"/>
        <w:jc w:val="center"/>
        <w:rPr>
          <w:rFonts w:eastAsia="黑体"/>
          <w:sz w:val="52"/>
        </w:rPr>
      </w:pPr>
    </w:p>
    <w:p>
      <w:pPr>
        <w:pStyle w:val="100"/>
        <w:jc w:val="center"/>
        <w:rPr>
          <w:rFonts w:eastAsia="黑体"/>
          <w:sz w:val="52"/>
        </w:rPr>
      </w:pPr>
    </w:p>
    <w:p>
      <w:pPr>
        <w:pStyle w:val="100"/>
        <w:jc w:val="center"/>
        <w:rPr>
          <w:rFonts w:ascii="方正仿宋_GBK" w:eastAsia="方正仿宋_GBK"/>
          <w:b/>
          <w:sz w:val="36"/>
          <w:u w:val="single"/>
        </w:rPr>
      </w:pPr>
      <w:r>
        <w:rPr>
          <w:rFonts w:ascii="方正仿宋_GBK" w:eastAsia="方正仿宋_GBK" w:hint="eastAsia"/>
          <w:b/>
          <w:sz w:val="36"/>
          <w:u w:val="single"/>
        </w:rPr>
        <w:t>2025年中国电子口岸数据中心深圳分中心信息化</w:t>
      </w:r>
    </w:p>
    <w:p>
      <w:pPr>
        <w:pStyle w:val="100"/>
        <w:jc w:val="center"/>
        <w:rPr>
          <w:rFonts w:ascii="方正小标宋_GBK" w:eastAsia="方正小标宋_GBK"/>
          <w:b/>
          <w:sz w:val="36"/>
        </w:rPr>
      </w:pPr>
      <w:r>
        <w:rPr>
          <w:rFonts w:ascii="方正仿宋_GBK" w:eastAsia="方正仿宋_GBK" w:hint="eastAsia"/>
          <w:b/>
          <w:sz w:val="36"/>
          <w:u w:val="single"/>
        </w:rPr>
        <w:t>业务系统数据传输技术支持服务</w:t>
      </w:r>
      <w:r>
        <w:rPr>
          <w:rFonts w:ascii="方正小标宋_GBK" w:eastAsia="方正小标宋_GBK" w:hint="eastAsia"/>
          <w:b/>
          <w:sz w:val="36"/>
        </w:rPr>
        <w:t>项目</w:t>
      </w:r>
    </w:p>
    <w:p>
      <w:pPr>
        <w:pStyle w:val="100"/>
        <w:ind w:firstLine="1428"/>
        <w:jc w:val="left"/>
        <w:rPr>
          <w:rFonts w:ascii="方正小标宋_GBK" w:eastAsia="方正小标宋_GBK"/>
          <w:b/>
          <w:sz w:val="36"/>
        </w:rPr>
      </w:pPr>
    </w:p>
    <w:p>
      <w:pPr>
        <w:pStyle w:val="100"/>
        <w:jc w:val="center"/>
        <w:rPr>
          <w:rFonts w:ascii="方正小标宋_GBK" w:eastAsia="方正小标宋_GBK"/>
          <w:b/>
          <w:sz w:val="96"/>
        </w:rPr>
      </w:pPr>
      <w:r>
        <w:rPr>
          <w:rFonts w:ascii="方正小标宋_GBK" w:eastAsia="方正小标宋_GBK" w:hint="eastAsia"/>
          <w:b/>
          <w:sz w:val="96"/>
        </w:rPr>
        <w:t>合</w:t>
      </w:r>
    </w:p>
    <w:p>
      <w:pPr>
        <w:pStyle w:val="100"/>
        <w:jc w:val="center"/>
        <w:rPr>
          <w:rFonts w:ascii="方正小标宋_GBK" w:eastAsia="方正小标宋_GBK"/>
          <w:b/>
          <w:sz w:val="96"/>
        </w:rPr>
      </w:pPr>
      <w:r>
        <w:rPr>
          <w:rFonts w:ascii="方正小标宋_GBK" w:eastAsia="方正小标宋_GBK" w:hint="eastAsia"/>
          <w:b/>
          <w:sz w:val="96"/>
        </w:rPr>
        <w:t>同</w:t>
      </w:r>
    </w:p>
    <w:p>
      <w:pPr>
        <w:pStyle w:val="100"/>
        <w:jc w:val="center"/>
        <w:rPr>
          <w:rFonts w:ascii="方正小标宋_GBK" w:eastAsia="方正小标宋_GBK"/>
          <w:b/>
          <w:sz w:val="96"/>
        </w:rPr>
      </w:pPr>
      <w:r>
        <w:rPr>
          <w:rFonts w:ascii="方正小标宋_GBK" w:eastAsia="方正小标宋_GBK" w:hint="eastAsia"/>
          <w:b/>
          <w:sz w:val="96"/>
        </w:rPr>
        <w:t>书</w:t>
      </w:r>
    </w:p>
    <w:p>
      <w:pPr>
        <w:pStyle w:val="100"/>
        <w:jc w:val="center"/>
        <w:rPr>
          <w:rFonts w:eastAsia="黑体"/>
          <w:sz w:val="36"/>
        </w:rPr>
      </w:pPr>
    </w:p>
    <w:p>
      <w:pPr>
        <w:pStyle w:val="100"/>
        <w:jc w:val="left"/>
        <w:rPr>
          <w:rFonts w:ascii="方正仿宋_GBK" w:eastAsia="方正仿宋_GBK"/>
          <w:b/>
          <w:sz w:val="36"/>
          <w:u w:val="single"/>
        </w:rPr>
      </w:pPr>
    </w:p>
    <w:p>
      <w:pPr>
        <w:pStyle w:val="100"/>
        <w:jc w:val="left"/>
        <w:rPr>
          <w:rFonts w:ascii="方正仿宋_GBK" w:eastAsia="方正仿宋_GBK"/>
          <w:b/>
          <w:sz w:val="36"/>
          <w:u w:val="single"/>
        </w:rPr>
      </w:pPr>
      <w:r>
        <w:rPr>
          <w:rFonts w:ascii="方正仿宋_GBK" w:eastAsia="方正仿宋_GBK" w:hint="eastAsia"/>
          <w:b/>
          <w:sz w:val="36"/>
        </w:rPr>
        <w:t xml:space="preserve">      委托方（甲方）：</w:t>
      </w:r>
      <w:r>
        <w:rPr>
          <w:rFonts w:ascii="方正仿宋_GBK" w:eastAsia="方正仿宋_GBK" w:hint="eastAsia"/>
          <w:b/>
          <w:sz w:val="36"/>
          <w:u w:val="single"/>
        </w:rPr>
        <w:t xml:space="preserve">                    </w:t>
      </w:r>
    </w:p>
    <w:p>
      <w:pPr>
        <w:pStyle w:val="100"/>
        <w:jc w:val="left"/>
        <w:rPr>
          <w:rFonts w:ascii="方正仿宋_GBK" w:eastAsia="方正仿宋_GBK"/>
          <w:b/>
          <w:sz w:val="36"/>
        </w:rPr>
      </w:pPr>
      <w:r>
        <w:rPr>
          <w:rFonts w:ascii="方正仿宋_GBK" w:eastAsia="方正仿宋_GBK" w:hint="eastAsia"/>
          <w:b/>
          <w:sz w:val="36"/>
        </w:rPr>
        <w:t xml:space="preserve">      受托方（乙方）：</w:t>
      </w:r>
      <w:r>
        <w:rPr>
          <w:rFonts w:ascii="方正仿宋_GBK" w:eastAsia="方正仿宋_GBK" w:hint="eastAsia"/>
          <w:b/>
          <w:sz w:val="36"/>
          <w:u w:val="single"/>
        </w:rPr>
        <w:t xml:space="preserve">                    </w:t>
      </w:r>
    </w:p>
    <w:p>
      <w:pPr>
        <w:pStyle w:val="100"/>
        <w:jc w:val="left"/>
        <w:rPr>
          <w:rFonts w:ascii="方正仿宋_GBK" w:eastAsia="方正仿宋_GBK"/>
          <w:b/>
          <w:sz w:val="36"/>
          <w:u w:val="single"/>
        </w:rPr>
      </w:pPr>
      <w:r>
        <w:rPr>
          <w:rFonts w:ascii="方正仿宋_GBK" w:eastAsia="方正仿宋_GBK" w:hint="eastAsia"/>
          <w:b/>
          <w:sz w:val="36"/>
        </w:rPr>
        <w:t xml:space="preserve">      签订时间：</w:t>
      </w:r>
      <w:r>
        <w:rPr>
          <w:rFonts w:ascii="方正仿宋_GBK" w:eastAsia="方正仿宋_GBK" w:hint="eastAsia"/>
          <w:b/>
          <w:sz w:val="36"/>
          <w:u w:val="single"/>
        </w:rPr>
        <w:t xml:space="preserve">                         </w:t>
      </w:r>
    </w:p>
    <w:p>
      <w:pPr>
        <w:pStyle w:val="100"/>
        <w:jc w:val="left"/>
        <w:rPr>
          <w:rFonts w:ascii="方正仿宋_GBK" w:eastAsia="方正仿宋_GBK"/>
          <w:b/>
          <w:sz w:val="36"/>
          <w:u w:val="single"/>
        </w:rPr>
      </w:pPr>
      <w:r>
        <w:rPr>
          <w:rFonts w:ascii="方正仿宋_GBK" w:eastAsia="方正仿宋_GBK" w:hint="eastAsia"/>
          <w:b/>
          <w:sz w:val="36"/>
        </w:rPr>
        <w:t xml:space="preserve">      有效期限：</w:t>
      </w:r>
      <w:r>
        <w:rPr>
          <w:rFonts w:ascii="方正仿宋_GBK" w:eastAsia="方正仿宋_GBK" w:hint="eastAsia"/>
          <w:b/>
          <w:sz w:val="36"/>
          <w:u w:val="single"/>
        </w:rPr>
        <w:t xml:space="preserve">                         </w:t>
      </w:r>
    </w:p>
    <w:p>
      <w:pPr>
        <w:pStyle w:val="1510"/>
        <w:snapToGrid w:val="0"/>
        <w:ind w:firstLine="280" w:firstLineChars="100"/>
        <w:jc w:val="left"/>
        <w:rPr>
          <w:rFonts w:ascii="宋体"/>
          <w:sz w:val="28"/>
          <w:szCs w:val="28"/>
        </w:rPr>
      </w:pPr>
      <w:r>
        <w:rPr>
          <w:rFonts w:ascii="宋体" w:hint="eastAsia"/>
          <w:sz w:val="28"/>
          <w:szCs w:val="28"/>
        </w:rPr>
        <w:t xml:space="preserve">  </w:t>
      </w:r>
    </w:p>
    <w:p>
      <w:pPr>
        <w:pStyle w:val="1510"/>
        <w:widowControl/>
        <w:jc w:val="left"/>
        <w:rPr>
          <w:sz w:val="28"/>
          <w:szCs w:val="28"/>
        </w:rPr>
      </w:pPr>
    </w:p>
    <w:p>
      <w:pPr>
        <w:pStyle w:val="PlainText"/>
      </w:pPr>
    </w:p>
    <w:p>
      <w:pPr>
        <w:pStyle w:val="PlainText"/>
      </w:pPr>
    </w:p>
    <w:p>
      <w:pPr>
        <w:pStyle w:val="PlainText"/>
      </w:pPr>
    </w:p>
    <w:tbl>
      <w:tblPr>
        <w:tblW w:w="4998" w:type="pct"/>
        <w:jc w:val="left"/>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3968"/>
        <w:gridCol w:w="4347"/>
      </w:tblGrid>
      <w:tr>
        <w:tblPrEx>
          <w:tblW w:w="4998" w:type="pct"/>
          <w:jc w:val="left"/>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309"/>
          <w:jc w:val="left"/>
        </w:trPr>
        <w:tc>
          <w:tcPr>
            <w:tcW w:w="2386" w:type="pct"/>
            <w:tcBorders>
              <w:tl2br w:val="nil"/>
              <w:tr2bl w:val="nil"/>
            </w:tcBorders>
          </w:tcPr>
          <w:p>
            <w:pPr>
              <w:pStyle w:val="TableParagraph"/>
              <w:spacing w:line="360" w:lineRule="auto"/>
              <w:ind w:firstLine="470" w:firstLineChars="196"/>
              <w:rPr>
                <w:b/>
                <w:sz w:val="24"/>
                <w:szCs w:val="24"/>
              </w:rPr>
            </w:pPr>
            <w:r>
              <w:rPr>
                <w:b/>
                <w:sz w:val="24"/>
                <w:szCs w:val="24"/>
              </w:rPr>
              <w:t xml:space="preserve">甲方名称： </w:t>
            </w:r>
          </w:p>
        </w:tc>
        <w:tc>
          <w:tcPr>
            <w:tcW w:w="2614" w:type="pct"/>
            <w:tcBorders>
              <w:tl2br w:val="nil"/>
              <w:tr2bl w:val="nil"/>
            </w:tcBorders>
          </w:tcPr>
          <w:p>
            <w:pPr>
              <w:pStyle w:val="TableParagraph"/>
              <w:spacing w:line="360" w:lineRule="auto"/>
              <w:ind w:firstLine="480" w:firstLineChars="200"/>
              <w:rPr>
                <w:b/>
                <w:sz w:val="24"/>
                <w:szCs w:val="24"/>
              </w:rPr>
            </w:pPr>
            <w:r>
              <w:rPr>
                <w:b/>
                <w:sz w:val="24"/>
                <w:szCs w:val="24"/>
              </w:rPr>
              <w:t xml:space="preserve">乙方名称： </w:t>
            </w:r>
          </w:p>
        </w:tc>
      </w:tr>
      <w:tr>
        <w:tblPrEx>
          <w:tblW w:w="4998" w:type="pct"/>
          <w:jc w:val="left"/>
          <w:tblCellMar>
            <w:top w:w="0" w:type="dxa"/>
            <w:left w:w="0" w:type="dxa"/>
            <w:bottom w:w="0" w:type="dxa"/>
            <w:right w:w="0" w:type="dxa"/>
          </w:tblCellMar>
        </w:tblPrEx>
        <w:trPr>
          <w:trHeight w:val="409"/>
          <w:jc w:val="left"/>
        </w:trPr>
        <w:tc>
          <w:tcPr>
            <w:tcW w:w="2386" w:type="pct"/>
            <w:tcBorders>
              <w:tl2br w:val="nil"/>
              <w:tr2bl w:val="nil"/>
            </w:tcBorders>
          </w:tcPr>
          <w:p>
            <w:pPr>
              <w:pStyle w:val="TableParagraph"/>
              <w:spacing w:line="360" w:lineRule="auto"/>
              <w:ind w:firstLine="480" w:firstLineChars="200"/>
              <w:rPr>
                <w:b/>
                <w:sz w:val="24"/>
                <w:szCs w:val="24"/>
              </w:rPr>
            </w:pPr>
            <w:r>
              <w:rPr>
                <w:b/>
                <w:sz w:val="24"/>
                <w:szCs w:val="24"/>
              </w:rPr>
              <w:t xml:space="preserve">地址： </w:t>
            </w:r>
          </w:p>
        </w:tc>
        <w:tc>
          <w:tcPr>
            <w:tcW w:w="2614" w:type="pct"/>
            <w:tcBorders>
              <w:tl2br w:val="nil"/>
              <w:tr2bl w:val="nil"/>
            </w:tcBorders>
          </w:tcPr>
          <w:p>
            <w:pPr>
              <w:pStyle w:val="TableParagraph"/>
              <w:spacing w:line="360" w:lineRule="auto"/>
              <w:ind w:firstLine="480" w:firstLineChars="200"/>
              <w:rPr>
                <w:b/>
                <w:sz w:val="24"/>
                <w:szCs w:val="24"/>
              </w:rPr>
            </w:pPr>
            <w:r>
              <w:rPr>
                <w:b/>
                <w:sz w:val="24"/>
                <w:szCs w:val="24"/>
              </w:rPr>
              <w:t xml:space="preserve">地址： </w:t>
            </w:r>
          </w:p>
        </w:tc>
      </w:tr>
      <w:tr>
        <w:tblPrEx>
          <w:tblW w:w="4998" w:type="pct"/>
          <w:jc w:val="left"/>
          <w:tblCellMar>
            <w:top w:w="0" w:type="dxa"/>
            <w:left w:w="0" w:type="dxa"/>
            <w:bottom w:w="0" w:type="dxa"/>
            <w:right w:w="0" w:type="dxa"/>
          </w:tblCellMar>
        </w:tblPrEx>
        <w:trPr>
          <w:trHeight w:val="409"/>
          <w:jc w:val="left"/>
        </w:trPr>
        <w:tc>
          <w:tcPr>
            <w:tcW w:w="2386" w:type="pct"/>
            <w:tcBorders>
              <w:tl2br w:val="nil"/>
              <w:tr2bl w:val="nil"/>
            </w:tcBorders>
          </w:tcPr>
          <w:p>
            <w:pPr>
              <w:pStyle w:val="TableParagraph"/>
              <w:spacing w:line="360" w:lineRule="auto"/>
              <w:ind w:firstLine="480" w:firstLineChars="200"/>
              <w:rPr>
                <w:b/>
                <w:sz w:val="24"/>
                <w:szCs w:val="24"/>
              </w:rPr>
            </w:pPr>
            <w:r>
              <w:rPr>
                <w:b/>
                <w:sz w:val="24"/>
                <w:szCs w:val="24"/>
              </w:rPr>
              <w:t xml:space="preserve">联系人： </w:t>
            </w:r>
          </w:p>
        </w:tc>
        <w:tc>
          <w:tcPr>
            <w:tcW w:w="2614" w:type="pct"/>
            <w:tcBorders>
              <w:tl2br w:val="nil"/>
              <w:tr2bl w:val="nil"/>
            </w:tcBorders>
          </w:tcPr>
          <w:p>
            <w:pPr>
              <w:pStyle w:val="TableParagraph"/>
              <w:spacing w:line="360" w:lineRule="auto"/>
              <w:ind w:firstLine="480" w:firstLineChars="200"/>
              <w:rPr>
                <w:b/>
                <w:sz w:val="24"/>
                <w:szCs w:val="24"/>
              </w:rPr>
            </w:pPr>
            <w:r>
              <w:rPr>
                <w:b/>
                <w:sz w:val="24"/>
                <w:szCs w:val="24"/>
              </w:rPr>
              <w:t xml:space="preserve">联系人： </w:t>
            </w:r>
          </w:p>
        </w:tc>
      </w:tr>
      <w:tr>
        <w:tblPrEx>
          <w:tblW w:w="4998" w:type="pct"/>
          <w:jc w:val="left"/>
          <w:tblCellMar>
            <w:top w:w="0" w:type="dxa"/>
            <w:left w:w="0" w:type="dxa"/>
            <w:bottom w:w="0" w:type="dxa"/>
            <w:right w:w="0" w:type="dxa"/>
          </w:tblCellMar>
        </w:tblPrEx>
        <w:trPr>
          <w:trHeight w:val="71"/>
          <w:jc w:val="left"/>
        </w:trPr>
        <w:tc>
          <w:tcPr>
            <w:tcW w:w="2386" w:type="pct"/>
            <w:tcBorders>
              <w:tl2br w:val="nil"/>
              <w:tr2bl w:val="nil"/>
            </w:tcBorders>
          </w:tcPr>
          <w:p>
            <w:pPr>
              <w:pStyle w:val="TableParagraph"/>
              <w:spacing w:line="360" w:lineRule="auto"/>
              <w:ind w:firstLine="480" w:firstLineChars="200"/>
              <w:rPr>
                <w:b/>
                <w:sz w:val="24"/>
                <w:szCs w:val="24"/>
              </w:rPr>
            </w:pPr>
            <w:r>
              <w:rPr>
                <w:b/>
                <w:sz w:val="24"/>
                <w:szCs w:val="24"/>
              </w:rPr>
              <w:t xml:space="preserve">电话： </w:t>
            </w:r>
          </w:p>
        </w:tc>
        <w:tc>
          <w:tcPr>
            <w:tcW w:w="2614" w:type="pct"/>
            <w:tcBorders>
              <w:tl2br w:val="nil"/>
              <w:tr2bl w:val="nil"/>
            </w:tcBorders>
          </w:tcPr>
          <w:p>
            <w:pPr>
              <w:pStyle w:val="TableParagraph"/>
              <w:spacing w:line="360" w:lineRule="auto"/>
              <w:ind w:firstLine="480" w:firstLineChars="200"/>
              <w:rPr>
                <w:b/>
                <w:sz w:val="24"/>
                <w:szCs w:val="24"/>
              </w:rPr>
            </w:pPr>
            <w:r>
              <w:rPr>
                <w:b/>
                <w:sz w:val="24"/>
                <w:szCs w:val="24"/>
              </w:rPr>
              <w:t xml:space="preserve">电话： </w:t>
            </w:r>
          </w:p>
        </w:tc>
      </w:tr>
    </w:tbl>
    <w:p>
      <w:pPr>
        <w:pStyle w:val="1510"/>
        <w:ind w:firstLine="420" w:firstLineChars="200"/>
        <w:rPr>
          <w:rFonts w:ascii="宋体" w:cs="宋体"/>
        </w:rPr>
      </w:pPr>
      <w:r>
        <w:rPr>
          <w:rFonts w:ascii="宋体" w:cs="宋体" w:hint="eastAsia"/>
        </w:rPr>
        <w:t>在</w:t>
      </w:r>
      <w:r>
        <w:rPr>
          <w:rFonts w:ascii="宋体" w:cs="宋体" w:hint="eastAsia"/>
          <w:u w:val="single"/>
        </w:rPr>
        <w:t>2025年中国电子口岸数据中心深圳分中心信息化业务系统数据传输技术支持服务项目（项目编号：  ）</w:t>
      </w:r>
      <w:r>
        <w:rPr>
          <w:rFonts w:ascii="宋体" w:cs="宋体" w:hint="eastAsia"/>
        </w:rPr>
        <w:t>中，</w:t>
      </w:r>
      <w:r>
        <w:rPr>
          <w:rFonts w:ascii="宋体" w:cs="宋体" w:hint="eastAsia"/>
          <w:u w:val="single"/>
        </w:rPr>
        <w:t xml:space="preserve">               </w:t>
      </w:r>
      <w:r>
        <w:rPr>
          <w:rFonts w:ascii="宋体" w:cs="宋体" w:hint="eastAsia"/>
        </w:rPr>
        <w:t>为甲方和委托方就</w:t>
      </w:r>
      <w:r>
        <w:rPr>
          <w:rFonts w:ascii="宋体" w:cs="宋体" w:hint="eastAsia"/>
          <w:u w:val="single"/>
        </w:rPr>
        <w:t>信息化业务系统数据传输技术支持服务</w:t>
      </w:r>
      <w:r>
        <w:rPr>
          <w:rFonts w:ascii="宋体" w:cs="宋体" w:hint="eastAsia"/>
        </w:rPr>
        <w:t>提供的服务，并取得相应的报酬。双方经过平等协商，在真实、充分地表达各自意愿的基础上，根据《中华人民共和国民法典》的规定，达成如下协议，并由双方共同恪守。</w:t>
      </w:r>
    </w:p>
    <w:p>
      <w:pPr>
        <w:pStyle w:val="1510"/>
        <w:widowControl/>
        <w:ind w:firstLine="420" w:firstLineChars="200"/>
        <w:rPr>
          <w:rFonts w:ascii="宋体" w:cs="宋体"/>
        </w:rPr>
      </w:pPr>
      <w:r>
        <w:rPr>
          <w:rFonts w:ascii="宋体" w:cs="宋体" w:hint="eastAsia"/>
        </w:rPr>
        <w:t>甲方_</w:t>
      </w:r>
      <w:r>
        <w:rPr>
          <w:rFonts w:ascii="宋体" w:cs="宋体" w:hint="eastAsia"/>
          <w:u w:val="single"/>
        </w:rPr>
        <w:t xml:space="preserve">                      </w:t>
      </w:r>
      <w:r>
        <w:rPr>
          <w:rFonts w:ascii="宋体" w:cs="宋体" w:hint="eastAsia"/>
        </w:rPr>
        <w:t xml:space="preserve">_乙方 </w:t>
      </w:r>
      <w:r>
        <w:rPr>
          <w:rFonts w:ascii="宋体" w:cs="宋体" w:hint="eastAsia"/>
          <w:u w:val="single"/>
        </w:rPr>
        <w:t xml:space="preserve">            </w:t>
      </w:r>
      <w:r>
        <w:rPr>
          <w:rFonts w:ascii="宋体" w:cs="宋体" w:hint="eastAsia"/>
        </w:rPr>
        <w:t>双方协商一致，签订本合同。</w:t>
      </w:r>
    </w:p>
    <w:p>
      <w:pPr>
        <w:pStyle w:val="1510"/>
        <w:widowControl/>
        <w:ind w:firstLine="420" w:firstLineChars="200"/>
        <w:rPr>
          <w:rFonts w:ascii="宋体" w:cs="宋体"/>
          <w:b/>
          <w:bCs/>
        </w:rPr>
      </w:pPr>
    </w:p>
    <w:p>
      <w:pPr>
        <w:keepNext/>
        <w:keepLines/>
        <w:widowControl w:val="0"/>
        <w:spacing w:before="280" w:after="290"/>
        <w:ind w:firstLine="420" w:firstLineChars="200"/>
        <w:rPr>
          <w:rFonts w:ascii="宋体" w:cs="宋体"/>
          <w:b/>
          <w:bCs/>
        </w:rPr>
      </w:pPr>
      <w:r>
        <w:rPr>
          <w:rFonts w:ascii="宋体" w:cs="宋体" w:hint="eastAsia"/>
          <w:b/>
          <w:bCs/>
        </w:rPr>
        <w:t>第一部分 基本情况</w:t>
      </w:r>
    </w:p>
    <w:p>
      <w:pPr>
        <w:pStyle w:val="1510"/>
        <w:widowControl/>
        <w:ind w:left="420" w:leftChars="200"/>
        <w:rPr>
          <w:rFonts w:ascii="宋体" w:cs="宋体"/>
        </w:rPr>
      </w:pPr>
      <w:r>
        <w:rPr>
          <w:rFonts w:ascii="宋体" w:cs="宋体" w:hint="eastAsia"/>
        </w:rPr>
        <w:t>一、合同标的如下：</w:t>
      </w:r>
    </w:p>
    <w:p>
      <w:pPr>
        <w:pStyle w:val="1510"/>
        <w:widowControl/>
        <w:ind w:left="420" w:leftChars="200"/>
        <w:rPr>
          <w:rFonts w:ascii="宋体" w:cs="宋体"/>
        </w:rPr>
      </w:pPr>
      <w:r>
        <w:rPr>
          <w:rFonts w:ascii="宋体" w:cs="宋体" w:hint="eastAsia"/>
        </w:rPr>
        <w:t>项目名称：</w:t>
      </w:r>
      <w:r>
        <w:rPr>
          <w:rFonts w:ascii="宋体" w:cs="宋体" w:hint="eastAsia"/>
          <w:u w:val="single"/>
        </w:rPr>
        <w:t>2025年中国电子口岸数据中心深圳分中心信息化业务系统数据传输技术支持服务</w:t>
      </w:r>
      <w:r>
        <w:rPr>
          <w:rFonts w:ascii="宋体" w:cs="宋体" w:hint="eastAsia"/>
        </w:rPr>
        <w:t>（项目编号：    ）</w:t>
      </w:r>
    </w:p>
    <w:p>
      <w:pPr>
        <w:pStyle w:val="1510"/>
        <w:widowControl/>
        <w:ind w:left="420" w:leftChars="200"/>
        <w:rPr>
          <w:rFonts w:ascii="宋体" w:cs="宋体"/>
        </w:rPr>
      </w:pPr>
      <w:r>
        <w:rPr>
          <w:rFonts w:ascii="宋体" w:cs="宋体" w:hint="eastAsia"/>
        </w:rPr>
        <w:t>建设单位：</w:t>
      </w:r>
      <w:r>
        <w:rPr>
          <w:rFonts w:ascii="宋体" w:cs="宋体" w:hint="eastAsia"/>
          <w:u w:val="single"/>
        </w:rPr>
        <w:t xml:space="preserve">                          </w:t>
      </w:r>
    </w:p>
    <w:p>
      <w:pPr>
        <w:pStyle w:val="1510"/>
        <w:widowControl/>
        <w:ind w:left="420" w:leftChars="200"/>
        <w:rPr>
          <w:rFonts w:ascii="宋体" w:cs="宋体"/>
        </w:rPr>
      </w:pPr>
      <w:r>
        <w:rPr>
          <w:rFonts w:ascii="宋体" w:cs="宋体" w:hint="eastAsia"/>
        </w:rPr>
        <w:t>项目实施地点：</w:t>
      </w:r>
      <w:r>
        <w:rPr>
          <w:rFonts w:ascii="宋体" w:cs="宋体" w:hint="eastAsia"/>
          <w:u w:val="single"/>
        </w:rPr>
        <w:t>中国电子口岸数据中心深圳分中心指定地点</w:t>
      </w:r>
    </w:p>
    <w:p>
      <w:pPr>
        <w:pStyle w:val="1510"/>
        <w:widowControl/>
        <w:ind w:left="420" w:leftChars="200"/>
        <w:rPr>
          <w:rFonts w:ascii="宋体" w:cs="宋体"/>
        </w:rPr>
      </w:pPr>
      <w:r>
        <w:rPr>
          <w:rFonts w:ascii="宋体" w:cs="宋体" w:hint="eastAsia"/>
        </w:rPr>
        <w:t>合同总价：</w:t>
      </w:r>
      <w:r>
        <w:rPr>
          <w:rFonts w:ascii="宋体" w:cs="宋体" w:hint="eastAsia"/>
          <w:u w:val="single"/>
        </w:rPr>
        <w:t xml:space="preserve">                                          </w:t>
      </w:r>
    </w:p>
    <w:p>
      <w:pPr>
        <w:pStyle w:val="1510"/>
        <w:widowControl/>
        <w:ind w:left="420" w:leftChars="200"/>
        <w:rPr>
          <w:rFonts w:ascii="宋体" w:cs="宋体"/>
        </w:rPr>
      </w:pPr>
      <w:r>
        <w:rPr>
          <w:rFonts w:ascii="宋体" w:cs="宋体" w:hint="eastAsia"/>
        </w:rPr>
        <w:t>服务目标：</w:t>
      </w:r>
      <w:r>
        <w:rPr>
          <w:rFonts w:ascii="宋体" w:cs="宋体" w:hint="eastAsia"/>
          <w:u w:val="single"/>
        </w:rPr>
        <w:t xml:space="preserve">提供信息化业务系统数据传输技术支持服务。   </w:t>
      </w:r>
    </w:p>
    <w:p>
      <w:pPr>
        <w:pStyle w:val="1510"/>
        <w:ind w:firstLine="420" w:firstLineChars="200"/>
        <w:rPr>
          <w:rFonts w:ascii="宋体" w:cs="宋体"/>
          <w:color w:val="000000"/>
        </w:rPr>
      </w:pPr>
      <w:r>
        <w:rPr>
          <w:rFonts w:ascii="宋体" w:cs="宋体" w:hint="eastAsia"/>
        </w:rPr>
        <w:t xml:space="preserve">服务内容： </w:t>
      </w:r>
      <w:r>
        <w:rPr>
          <w:rFonts w:ascii="宋体" w:cs="宋体" w:hint="eastAsia"/>
          <w:u w:val="single"/>
        </w:rPr>
        <w:t>详见招标文件需求中的用户需求</w:t>
      </w:r>
      <w:r>
        <w:rPr>
          <w:rFonts w:ascii="宋体" w:cs="宋体" w:hint="eastAsia"/>
        </w:rPr>
        <w:t xml:space="preserve"> </w:t>
      </w:r>
      <w:r>
        <w:rPr>
          <w:rFonts w:ascii="宋体" w:cs="宋体" w:hint="eastAsia"/>
          <w:color w:val="000000"/>
        </w:rPr>
        <w:t>。</w:t>
      </w:r>
    </w:p>
    <w:p>
      <w:pPr>
        <w:pStyle w:val="1510"/>
        <w:tabs>
          <w:tab w:val="left" w:pos="945"/>
        </w:tabs>
        <w:ind w:firstLine="420" w:firstLineChars="200"/>
        <w:rPr>
          <w:rFonts w:ascii="宋体" w:cs="宋体"/>
        </w:rPr>
      </w:pPr>
      <w:r>
        <w:rPr>
          <w:rFonts w:ascii="宋体" w:cs="宋体" w:hint="eastAsia"/>
        </w:rPr>
        <w:t>服务方式：</w:t>
      </w:r>
      <w:r>
        <w:rPr>
          <w:rFonts w:ascii="宋体" w:cs="宋体" w:hint="eastAsia"/>
          <w:u w:val="single"/>
        </w:rPr>
        <w:t xml:space="preserve"> 人员驻场+部署+培训服务。 </w:t>
      </w:r>
    </w:p>
    <w:p>
      <w:pPr>
        <w:pStyle w:val="1510"/>
        <w:tabs>
          <w:tab w:val="left" w:pos="945"/>
        </w:tabs>
        <w:ind w:firstLine="420" w:firstLineChars="200"/>
        <w:rPr>
          <w:rFonts w:ascii="宋体" w:cs="宋体"/>
        </w:rPr>
      </w:pPr>
      <w:r>
        <w:rPr>
          <w:rFonts w:ascii="宋体" w:cs="宋体" w:hint="eastAsia"/>
        </w:rPr>
        <w:t>服务质量要求：</w:t>
      </w:r>
      <w:r>
        <w:rPr>
          <w:rFonts w:ascii="宋体" w:cs="宋体" w:hint="eastAsia"/>
          <w:u w:val="single"/>
        </w:rPr>
        <w:t xml:space="preserve"> 按招标文件要求。  </w:t>
      </w:r>
    </w:p>
    <w:p>
      <w:pPr>
        <w:pStyle w:val="1510"/>
        <w:tabs>
          <w:tab w:val="left" w:pos="945"/>
        </w:tabs>
        <w:ind w:firstLine="420" w:firstLineChars="200"/>
        <w:rPr>
          <w:rFonts w:ascii="宋体" w:cs="宋体"/>
        </w:rPr>
      </w:pPr>
      <w:r>
        <w:rPr>
          <w:rFonts w:ascii="宋体" w:cs="宋体" w:hint="eastAsia"/>
        </w:rPr>
        <w:t>合同服务期限：</w:t>
      </w:r>
      <w:r>
        <w:rPr>
          <w:rFonts w:ascii="宋体" w:cs="宋体" w:hint="eastAsia"/>
          <w:u w:val="single"/>
        </w:rPr>
        <w:t xml:space="preserve">  自合同签订起1年  </w:t>
      </w:r>
    </w:p>
    <w:p>
      <w:pPr>
        <w:pStyle w:val="1510"/>
        <w:widowControl/>
        <w:ind w:left="420" w:leftChars="200"/>
        <w:rPr>
          <w:rFonts w:ascii="宋体" w:cs="宋体"/>
        </w:rPr>
      </w:pPr>
      <w:r>
        <w:rPr>
          <w:rFonts w:ascii="宋体" w:cs="宋体" w:hint="eastAsia"/>
        </w:rPr>
        <w:t>二、本合同中的有关词语含义与本合同第二部分《标准条件》中赋予它们的定义相同。</w:t>
      </w:r>
    </w:p>
    <w:p>
      <w:pPr>
        <w:pStyle w:val="1510"/>
        <w:widowControl/>
        <w:ind w:left="420" w:leftChars="200"/>
        <w:rPr>
          <w:rFonts w:ascii="宋体" w:cs="宋体"/>
        </w:rPr>
      </w:pPr>
      <w:r>
        <w:rPr>
          <w:rFonts w:ascii="宋体" w:cs="宋体" w:hint="eastAsia"/>
        </w:rPr>
        <w:t>三、与履行本合同有关的下列文件，为本合同的组成部分，下述文件互相补充和解释，如有不明确或不一致之处，以合同约定次序在先者为准：</w:t>
      </w:r>
    </w:p>
    <w:p>
      <w:pPr>
        <w:pStyle w:val="1510"/>
        <w:widowControl/>
        <w:ind w:firstLine="420" w:firstLineChars="200"/>
        <w:rPr>
          <w:rFonts w:ascii="宋体" w:cs="宋体"/>
        </w:rPr>
      </w:pPr>
      <w:r>
        <w:rPr>
          <w:rFonts w:ascii="宋体" w:cs="宋体" w:hint="eastAsia"/>
        </w:rPr>
        <w:t>1、本采购合同；</w:t>
      </w:r>
    </w:p>
    <w:p>
      <w:pPr>
        <w:pStyle w:val="1510"/>
        <w:widowControl/>
        <w:ind w:firstLine="420" w:firstLineChars="200"/>
        <w:rPr>
          <w:rFonts w:ascii="宋体" w:cs="宋体"/>
        </w:rPr>
      </w:pPr>
      <w:r>
        <w:rPr>
          <w:rFonts w:ascii="宋体" w:cs="宋体" w:hint="eastAsia"/>
        </w:rPr>
        <w:t>2、中标通知书；</w:t>
      </w:r>
    </w:p>
    <w:p>
      <w:pPr>
        <w:pStyle w:val="1510"/>
        <w:widowControl/>
        <w:ind w:firstLine="420" w:firstLineChars="200"/>
        <w:rPr>
          <w:rFonts w:ascii="宋体" w:cs="宋体"/>
        </w:rPr>
      </w:pPr>
      <w:r>
        <w:rPr>
          <w:rFonts w:ascii="宋体" w:cs="宋体"/>
        </w:rPr>
        <w:t>3</w:t>
      </w:r>
      <w:r>
        <w:rPr>
          <w:rFonts w:ascii="宋体" w:cs="宋体" w:hint="eastAsia"/>
        </w:rPr>
        <w:t>、技术规范。</w:t>
      </w:r>
    </w:p>
    <w:p>
      <w:pPr>
        <w:pStyle w:val="1510"/>
        <w:widowControl/>
        <w:ind w:firstLine="420" w:firstLineChars="200"/>
        <w:rPr>
          <w:rFonts w:ascii="宋体" w:cs="宋体"/>
        </w:rPr>
      </w:pPr>
      <w:r>
        <w:rPr>
          <w:rFonts w:ascii="宋体" w:cs="宋体" w:hint="eastAsia"/>
        </w:rPr>
        <w:t>四、本合同自双方法定代表人或者授权签字人签字并加盖公章之日起生效。</w:t>
      </w:r>
    </w:p>
    <w:p>
      <w:pPr>
        <w:pStyle w:val="1510"/>
        <w:ind w:firstLine="420" w:firstLineChars="200"/>
        <w:rPr>
          <w:rFonts w:ascii="宋体" w:cs="宋体"/>
        </w:rPr>
      </w:pPr>
      <w:r>
        <w:rPr>
          <w:rFonts w:ascii="宋体" w:cs="宋体" w:hint="eastAsia"/>
        </w:rPr>
        <w:t>五、本合同共</w:t>
      </w:r>
      <w:r>
        <w:rPr>
          <w:rFonts w:ascii="宋体" w:cs="宋体" w:hint="eastAsia"/>
          <w:u w:val="single"/>
        </w:rPr>
        <w:t xml:space="preserve">    </w:t>
      </w:r>
      <w:r>
        <w:rPr>
          <w:rFonts w:ascii="宋体" w:cs="宋体" w:hint="eastAsia"/>
        </w:rPr>
        <w:t>页，一式</w:t>
      </w:r>
      <w:r>
        <w:rPr>
          <w:rFonts w:ascii="宋体" w:cs="宋体"/>
          <w:u w:val="single"/>
        </w:rPr>
        <w:t>肆</w:t>
      </w:r>
      <w:r>
        <w:rPr>
          <w:rFonts w:ascii="宋体" w:cs="宋体" w:hint="eastAsia"/>
        </w:rPr>
        <w:t>份。甲方执</w:t>
      </w:r>
      <w:r>
        <w:rPr>
          <w:rFonts w:ascii="宋体" w:cs="宋体"/>
          <w:u w:val="single"/>
        </w:rPr>
        <w:t>叁</w:t>
      </w:r>
      <w:r>
        <w:rPr>
          <w:rFonts w:ascii="宋体" w:cs="宋体" w:hint="eastAsia"/>
        </w:rPr>
        <w:t>份，乙方执</w:t>
      </w:r>
      <w:r>
        <w:rPr>
          <w:rFonts w:ascii="宋体" w:cs="宋体"/>
          <w:u w:val="single"/>
        </w:rPr>
        <w:t>壹</w:t>
      </w:r>
      <w:r>
        <w:rPr>
          <w:rFonts w:ascii="宋体" w:cs="宋体" w:hint="eastAsia"/>
        </w:rPr>
        <w:t>份。附件为主合同的一部分，具有同等法律效力。附件与主合同内容不一致的，以主合同为准。</w:t>
      </w:r>
    </w:p>
    <w:p>
      <w:pPr>
        <w:keepNext/>
        <w:keepLines/>
        <w:widowControl w:val="0"/>
        <w:spacing w:before="280" w:after="290"/>
        <w:ind w:firstLine="420" w:firstLineChars="200"/>
        <w:rPr>
          <w:rFonts w:ascii="宋体" w:cs="宋体"/>
          <w:b/>
          <w:bCs/>
        </w:rPr>
      </w:pPr>
      <w:bookmarkStart w:id="36" w:name="_Toc429385595"/>
      <w:r>
        <w:rPr>
          <w:rFonts w:ascii="宋体" w:cs="宋体" w:hint="eastAsia"/>
          <w:b/>
          <w:bCs/>
        </w:rPr>
        <w:t>第二部分 标准条件</w:t>
      </w:r>
      <w:bookmarkEnd w:id="36"/>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37" w:name="_Toc499652081"/>
      <w:bookmarkStart w:id="38" w:name="_Toc18991"/>
      <w:bookmarkStart w:id="39" w:name="_Toc382308914"/>
      <w:bookmarkStart w:id="40" w:name="_Toc429385596"/>
      <w:bookmarkStart w:id="41" w:name="_Toc374788775"/>
      <w:bookmarkStart w:id="42" w:name="_Toc374628885"/>
      <w:r>
        <w:rPr>
          <w:rFonts w:ascii="宋体" w:cs="宋体" w:hint="eastAsia"/>
          <w:b/>
        </w:rPr>
        <w:t>合同名词</w:t>
      </w:r>
      <w:bookmarkEnd w:id="37"/>
      <w:bookmarkEnd w:id="38"/>
      <w:bookmarkEnd w:id="39"/>
      <w:bookmarkEnd w:id="40"/>
    </w:p>
    <w:p>
      <w:pPr>
        <w:pStyle w:val="1510"/>
        <w:ind w:left="17" w:firstLine="388" w:leftChars="8" w:firstLineChars="185"/>
        <w:rPr>
          <w:rFonts w:ascii="宋体" w:cs="宋体"/>
        </w:rPr>
      </w:pPr>
      <w:bookmarkStart w:id="43" w:name="_Toc417931805"/>
      <w:r>
        <w:rPr>
          <w:rFonts w:ascii="宋体" w:cs="宋体" w:hint="eastAsia"/>
        </w:rPr>
        <w:t>下列名词和用语，除上下文另有规定外，有如下含义：</w:t>
      </w:r>
      <w:bookmarkEnd w:id="41"/>
      <w:bookmarkEnd w:id="42"/>
      <w:bookmarkEnd w:id="43"/>
    </w:p>
    <w:p>
      <w:pPr>
        <w:pStyle w:val="1510"/>
        <w:widowControl/>
        <w:ind w:left="17" w:firstLine="388" w:leftChars="8" w:firstLineChars="185"/>
        <w:rPr>
          <w:rFonts w:ascii="宋体" w:cs="宋体"/>
        </w:rPr>
      </w:pPr>
      <w:r>
        <w:rPr>
          <w:rFonts w:ascii="宋体" w:cs="宋体" w:hint="eastAsia"/>
        </w:rPr>
        <w:t>1、“项目”是指</w:t>
      </w:r>
      <w:r>
        <w:rPr>
          <w:rFonts w:ascii="宋体" w:cs="宋体" w:hint="eastAsia"/>
          <w:u w:val="single"/>
        </w:rPr>
        <w:t>2025年中国电子口岸数据中心深圳分中心信息化业务系统数据传输技术支持服务项目</w:t>
      </w:r>
      <w:r>
        <w:rPr>
          <w:rFonts w:ascii="宋体" w:cs="宋体" w:hint="eastAsia"/>
        </w:rPr>
        <w:t>。</w:t>
      </w:r>
    </w:p>
    <w:p>
      <w:pPr>
        <w:pStyle w:val="1510"/>
        <w:widowControl/>
        <w:ind w:left="17" w:firstLine="388" w:leftChars="8" w:firstLineChars="185"/>
        <w:rPr>
          <w:rFonts w:ascii="宋体" w:cs="宋体"/>
        </w:rPr>
      </w:pPr>
      <w:r>
        <w:rPr>
          <w:rFonts w:ascii="宋体" w:cs="宋体" w:hint="eastAsia"/>
        </w:rPr>
        <w:t>2、“委托方”是指承担直接投资责任的一方以及其合法继承人，在本合同中指</w:t>
      </w:r>
      <w:r>
        <w:rPr>
          <w:rFonts w:ascii="宋体" w:cs="宋体" w:hint="eastAsia"/>
          <w:u w:val="single"/>
        </w:rPr>
        <w:t xml:space="preserve">              </w:t>
      </w:r>
      <w:r>
        <w:rPr>
          <w:rFonts w:ascii="宋体" w:cs="宋体" w:hint="eastAsia"/>
        </w:rPr>
        <w:t>。</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44" w:name="_Toc20666"/>
      <w:bookmarkStart w:id="45" w:name="_Toc429385597"/>
      <w:bookmarkStart w:id="46" w:name="_Toc499652082"/>
      <w:r>
        <w:rPr>
          <w:rFonts w:ascii="宋体" w:cs="宋体" w:hint="eastAsia"/>
          <w:b/>
        </w:rPr>
        <w:t>甲方的权利和义务</w:t>
      </w:r>
      <w:bookmarkEnd w:id="44"/>
      <w:bookmarkEnd w:id="45"/>
      <w:bookmarkEnd w:id="46"/>
    </w:p>
    <w:p>
      <w:pPr>
        <w:pStyle w:val="1510"/>
        <w:tabs>
          <w:tab w:val="left" w:pos="1575"/>
          <w:tab w:val="left" w:pos="1680"/>
          <w:tab w:val="left" w:pos="2205"/>
        </w:tabs>
        <w:ind w:left="17" w:firstLine="388" w:leftChars="8" w:firstLineChars="185"/>
        <w:rPr>
          <w:rFonts w:ascii="宋体" w:cs="宋体"/>
        </w:rPr>
      </w:pPr>
      <w:bookmarkStart w:id="47" w:name="_Hlk121233171"/>
      <w:r>
        <w:rPr>
          <w:rFonts w:ascii="宋体" w:cs="宋体" w:hint="eastAsia"/>
        </w:rPr>
        <w:t>2.1甲方有权要求乙方按本合同约定及时提供服务。甲方和委托方对服务的工作成果进行评估和确认，提出修改意见。</w:t>
      </w:r>
    </w:p>
    <w:p>
      <w:pPr>
        <w:pStyle w:val="1510"/>
        <w:tabs>
          <w:tab w:val="left" w:pos="1575"/>
          <w:tab w:val="left" w:pos="1680"/>
          <w:tab w:val="left" w:pos="2205"/>
        </w:tabs>
        <w:ind w:left="17" w:firstLine="388" w:leftChars="8" w:firstLineChars="185"/>
        <w:rPr>
          <w:rFonts w:ascii="宋体" w:cs="宋体"/>
        </w:rPr>
      </w:pPr>
      <w:r>
        <w:rPr>
          <w:rFonts w:ascii="宋体" w:cs="宋体" w:hint="eastAsia"/>
        </w:rPr>
        <w:t>2.2甲方和委托方对服务成果拥有所有权及全部、完整的知识产权（包括但不限于着作权、专利权、商标权以及知识产权申请权等）。甲方和委托方可安排</w:t>
      </w:r>
      <w:r>
        <w:rPr>
          <w:rFonts w:ascii="宋体" w:cs="宋体" w:hint="eastAsia"/>
          <w:bCs/>
        </w:rPr>
        <w:t>海关骨干人员参与核心工作，工作结束后带回源代码并纳入委托方原版库管理，以便后续修改维护</w:t>
      </w:r>
      <w:r>
        <w:rPr>
          <w:rFonts w:ascii="宋体" w:cs="宋体" w:hint="eastAsia"/>
        </w:rPr>
        <w:t>。</w:t>
      </w:r>
    </w:p>
    <w:p>
      <w:pPr>
        <w:pStyle w:val="1510"/>
        <w:tabs>
          <w:tab w:val="left" w:pos="1575"/>
          <w:tab w:val="left" w:pos="1680"/>
          <w:tab w:val="left" w:pos="2205"/>
        </w:tabs>
        <w:ind w:left="17" w:firstLine="388" w:leftChars="8" w:firstLineChars="185"/>
        <w:rPr>
          <w:rFonts w:ascii="宋体" w:cs="宋体"/>
        </w:rPr>
      </w:pPr>
      <w:r>
        <w:rPr>
          <w:rFonts w:ascii="宋体" w:cs="宋体" w:hint="eastAsia"/>
        </w:rPr>
        <w:t>2.3甲方和委托方有权对项目涉及的所有成果在海关范围内进行应用</w:t>
      </w:r>
      <w:r>
        <w:rPr>
          <w:rFonts w:ascii="宋体" w:cs="宋体"/>
        </w:rPr>
        <w:t>。</w:t>
      </w:r>
    </w:p>
    <w:p>
      <w:pPr>
        <w:pStyle w:val="1510"/>
        <w:tabs>
          <w:tab w:val="left" w:pos="1575"/>
          <w:tab w:val="left" w:pos="1680"/>
          <w:tab w:val="left" w:pos="2205"/>
        </w:tabs>
        <w:ind w:left="17" w:firstLine="388" w:leftChars="8" w:firstLineChars="185"/>
        <w:rPr>
          <w:rFonts w:ascii="宋体" w:cs="宋体"/>
        </w:rPr>
      </w:pPr>
      <w:r>
        <w:rPr>
          <w:rFonts w:ascii="宋体" w:cs="宋体" w:hint="eastAsia"/>
        </w:rPr>
        <w:t>2.4如果乙方不能按照本合同的要求履行义务，委托方以书面形式通知乙方，乙方应在</w:t>
      </w:r>
      <w:r>
        <w:rPr>
          <w:rFonts w:ascii="宋体" w:cs="宋体" w:hint="eastAsia"/>
          <w:u w:val="single"/>
        </w:rPr>
        <w:t xml:space="preserve"> 5 </w:t>
      </w:r>
      <w:r>
        <w:rPr>
          <w:rFonts w:ascii="宋体" w:cs="宋体" w:hint="eastAsia"/>
        </w:rPr>
        <w:t>个工作日内予以补正和改进，如果乙方在规定的期限内未能补正和改进，甲方有权中止支付，直至乙方能够按照本合同规定的内容履行义务。若乙方的补正和改进在</w:t>
      </w:r>
      <w:r>
        <w:rPr>
          <w:rFonts w:ascii="宋体" w:cs="宋体" w:hint="eastAsia"/>
          <w:u w:val="single"/>
        </w:rPr>
        <w:t xml:space="preserve"> 30 </w:t>
      </w:r>
      <w:r>
        <w:rPr>
          <w:rFonts w:ascii="宋体" w:cs="宋体" w:hint="eastAsia"/>
        </w:rPr>
        <w:t>个工作日内仍无法达到合同要求，甲方有权按</w:t>
      </w:r>
      <w:r>
        <w:rPr>
          <w:rFonts w:ascii="宋体" w:cs="宋体"/>
        </w:rPr>
        <w:t>本合同</w:t>
      </w:r>
      <w:r>
        <w:rPr>
          <w:rFonts w:ascii="宋体" w:cs="宋体" w:hint="eastAsia"/>
        </w:rPr>
        <w:t>违约责任</w:t>
      </w:r>
      <w:r>
        <w:rPr>
          <w:rFonts w:ascii="宋体" w:cs="宋体"/>
        </w:rPr>
        <w:t>相关条款</w:t>
      </w:r>
      <w:r>
        <w:rPr>
          <w:rFonts w:ascii="宋体" w:cs="宋体" w:hint="eastAsia"/>
        </w:rPr>
        <w:t>处理。</w:t>
      </w:r>
    </w:p>
    <w:p>
      <w:pPr>
        <w:pStyle w:val="1510"/>
        <w:tabs>
          <w:tab w:val="left" w:pos="945"/>
        </w:tabs>
        <w:ind w:left="17" w:firstLine="388" w:leftChars="8" w:firstLineChars="185"/>
        <w:rPr>
          <w:rFonts w:ascii="宋体" w:cs="宋体"/>
        </w:rPr>
      </w:pPr>
      <w:r>
        <w:rPr>
          <w:rFonts w:ascii="宋体" w:cs="宋体" w:hint="eastAsia"/>
        </w:rPr>
        <w:t>2.5甲方和委托方应当在项目实施过程中向乙方提供下列工作条件和协作事项：本项目执行所需的技术资料文档、符合甲方规定的工作场所以及相关配合人员。</w:t>
      </w:r>
    </w:p>
    <w:p>
      <w:pPr>
        <w:pStyle w:val="1510"/>
        <w:tabs>
          <w:tab w:val="left" w:pos="945"/>
        </w:tabs>
        <w:ind w:left="17" w:firstLine="388" w:leftChars="8" w:firstLineChars="185"/>
        <w:rPr>
          <w:rFonts w:ascii="宋体" w:cs="宋体"/>
        </w:rPr>
      </w:pPr>
      <w:r>
        <w:rPr>
          <w:rFonts w:ascii="宋体" w:cs="宋体" w:hint="eastAsia"/>
        </w:rPr>
        <w:t>2.6在乙方完成相应阶段工作并满足付款条件时，甲方应按照本合同的约定及时支付合同价款。</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48" w:name="_Toc429385598"/>
      <w:bookmarkStart w:id="49" w:name="_Toc16704"/>
      <w:bookmarkStart w:id="50" w:name="_Toc499652083"/>
      <w:bookmarkEnd w:id="47"/>
      <w:r>
        <w:rPr>
          <w:rFonts w:ascii="宋体" w:cs="宋体" w:hint="eastAsia"/>
          <w:b/>
        </w:rPr>
        <w:t>乙方的权利和义务</w:t>
      </w:r>
      <w:bookmarkEnd w:id="48"/>
      <w:bookmarkEnd w:id="49"/>
      <w:bookmarkEnd w:id="50"/>
    </w:p>
    <w:p>
      <w:pPr>
        <w:pStyle w:val="1510"/>
        <w:ind w:left="17" w:firstLine="388" w:leftChars="8" w:firstLineChars="185"/>
        <w:rPr>
          <w:rFonts w:ascii="宋体" w:cs="宋体"/>
        </w:rPr>
      </w:pPr>
      <w:bookmarkStart w:id="51" w:name="_Hlk121233198"/>
      <w:r>
        <w:rPr>
          <w:rFonts w:ascii="宋体" w:cs="宋体" w:hint="eastAsia"/>
        </w:rPr>
        <w:t>3.1乙方应按照本合同及合同附件的要求，为甲方和委托方提供合格的服务，具体内容详见附件一</w:t>
      </w:r>
      <w:r>
        <w:rPr>
          <w:rFonts w:ascii="宋体" w:cs="宋体" w:hint="eastAsia"/>
          <w:u w:val="single"/>
        </w:rPr>
        <w:t>技术要求</w:t>
      </w:r>
      <w:r>
        <w:rPr>
          <w:rFonts w:ascii="宋体" w:cs="宋体" w:hint="eastAsia"/>
        </w:rPr>
        <w:t>的主要内容。</w:t>
      </w:r>
    </w:p>
    <w:p>
      <w:pPr>
        <w:pStyle w:val="1510"/>
        <w:ind w:left="17" w:firstLine="388" w:leftChars="8" w:firstLineChars="185"/>
        <w:rPr>
          <w:rFonts w:ascii="宋体" w:cs="宋体"/>
        </w:rPr>
      </w:pPr>
      <w:r>
        <w:rPr>
          <w:rFonts w:ascii="宋体" w:cs="宋体" w:hint="eastAsia"/>
        </w:rPr>
        <w:t>3.2乙方在服务实施中按照国家有关法律、法规、标准规范、海关信息化建设有关技术标准、设计方案、信息安全等级保护、运行管理等有关规定和要求执行严格的质量管理，以确保本服务的质量，完成合同履约。</w:t>
      </w:r>
    </w:p>
    <w:p>
      <w:pPr>
        <w:pStyle w:val="1510"/>
        <w:widowControl/>
        <w:snapToGrid w:val="0"/>
        <w:spacing w:before="156"/>
        <w:ind w:left="17" w:firstLine="388" w:leftChars="8" w:firstLineChars="185"/>
        <w:rPr>
          <w:rFonts w:ascii="宋体" w:cs="宋体"/>
        </w:rPr>
      </w:pPr>
      <w:r>
        <w:rPr>
          <w:rFonts w:ascii="宋体" w:cs="宋体" w:hint="eastAsia"/>
        </w:rPr>
        <w:t>3.3乙方应按照《国家电子政务工程建设项目档案管理暂行办法》和深圳海关项目管理相关管理规定,分阶段及时向甲方和委托方提供服务报告、完备的管理及技术文件和资料，以满足系统软、硬件设备安装、管理及运行维护、项目管理等需要。文档以纸质文件和电子资料（光盘）的形式提供。</w:t>
      </w:r>
    </w:p>
    <w:p>
      <w:pPr>
        <w:pStyle w:val="1510"/>
        <w:ind w:left="17" w:firstLine="388" w:leftChars="8" w:firstLineChars="185"/>
        <w:rPr>
          <w:rFonts w:ascii="宋体" w:cs="宋体"/>
        </w:rPr>
      </w:pPr>
      <w:r>
        <w:rPr>
          <w:rFonts w:ascii="宋体" w:cs="宋体" w:hint="eastAsia"/>
        </w:rPr>
        <w:t>3.4乙方应为甲方和委托方提供培训、集中工作和会议保障、项目推动等服务，同时相关建设成果在海关范围内应用，不增加额外费用。</w:t>
      </w:r>
    </w:p>
    <w:p>
      <w:pPr>
        <w:pStyle w:val="1510"/>
        <w:ind w:left="17" w:firstLine="388" w:leftChars="8" w:firstLineChars="185"/>
        <w:rPr>
          <w:rFonts w:ascii="宋体" w:cs="宋体"/>
        </w:rPr>
      </w:pPr>
      <w:r>
        <w:rPr>
          <w:rFonts w:ascii="宋体" w:cs="宋体" w:hint="eastAsia"/>
        </w:rPr>
        <w:t>3.5乙方应加强项目风险分析及控制，对项目的风险要有详细的分析，并有可靠的控制手段和措施并及时向甲方和委托方汇报。</w:t>
      </w:r>
    </w:p>
    <w:p>
      <w:pPr>
        <w:pStyle w:val="1510"/>
        <w:widowControl/>
        <w:snapToGrid w:val="0"/>
        <w:spacing w:before="156"/>
        <w:ind w:left="17" w:firstLine="388" w:leftChars="8" w:firstLineChars="185"/>
        <w:rPr>
          <w:rFonts w:ascii="宋体" w:cs="宋体"/>
        </w:rPr>
      </w:pPr>
      <w:r>
        <w:rPr>
          <w:rFonts w:ascii="宋体" w:cs="宋体" w:hint="eastAsia"/>
        </w:rPr>
        <w:t>3.6在安装和调试及提供其他服务过程中，由于乙方人员的过错、过失造成的设备损坏、损失、人身安全事故，其责任由乙方承担。</w:t>
      </w:r>
    </w:p>
    <w:p>
      <w:pPr>
        <w:pStyle w:val="1510"/>
        <w:ind w:left="17" w:firstLine="388" w:leftChars="8" w:firstLineChars="185"/>
        <w:rPr>
          <w:rFonts w:ascii="宋体" w:cs="宋体"/>
          <w:color w:val="FF0000"/>
        </w:rPr>
      </w:pPr>
      <w:r>
        <w:rPr>
          <w:rFonts w:ascii="宋体" w:cs="宋体" w:hint="eastAsia"/>
        </w:rPr>
        <w:t>3.7乙方应指定</w:t>
      </w:r>
      <w:r>
        <w:rPr>
          <w:rFonts w:ascii="宋体" w:cs="宋体" w:hint="eastAsia"/>
          <w:u w:val="single"/>
        </w:rPr>
        <w:t xml:space="preserve">     </w:t>
      </w:r>
      <w:r>
        <w:rPr>
          <w:rFonts w:ascii="宋体" w:cs="宋体" w:hint="eastAsia"/>
        </w:rPr>
        <w:t>为项目经理，为</w:t>
      </w:r>
      <w:r>
        <w:rPr>
          <w:rFonts w:ascii="宋体" w:cs="宋体" w:hint="eastAsia"/>
          <w:u w:val="single"/>
        </w:rPr>
        <w:t xml:space="preserve">     </w:t>
      </w:r>
      <w:r>
        <w:rPr>
          <w:rFonts w:ascii="宋体" w:cs="宋体" w:hint="eastAsia"/>
        </w:rPr>
        <w:t>项目技术负责人，为甲方和委托方提供 7人的常驻现场服务，具体驻场服务人员要求</w:t>
      </w:r>
      <w:r>
        <w:rPr>
          <w:rFonts w:ascii="宋体" w:cs="宋体" w:hint="eastAsia"/>
          <w:color w:val="000000"/>
        </w:rPr>
        <w:t>详见附件一</w:t>
      </w:r>
      <w:r>
        <w:rPr>
          <w:rFonts w:ascii="宋体" w:cs="宋体" w:hint="eastAsia"/>
          <w:color w:val="000000"/>
          <w:u w:val="single"/>
        </w:rPr>
        <w:t>技术要求</w:t>
      </w:r>
      <w:r>
        <w:rPr>
          <w:rFonts w:ascii="宋体" w:cs="宋体" w:hint="eastAsia"/>
          <w:color w:val="000000"/>
        </w:rPr>
        <w:t>。</w:t>
      </w:r>
    </w:p>
    <w:p>
      <w:pPr>
        <w:pStyle w:val="1510"/>
        <w:ind w:left="17" w:firstLine="388" w:leftChars="8" w:firstLineChars="185"/>
        <w:rPr>
          <w:rFonts w:ascii="宋体" w:cs="宋体"/>
        </w:rPr>
      </w:pPr>
      <w:r>
        <w:rPr>
          <w:rFonts w:ascii="宋体" w:cs="宋体" w:hint="eastAsia"/>
        </w:rPr>
        <w:t>3.8 未经甲方和委托方书面同意，乙方不得擅自更换项目经理或项目技术负责人；如果甲方和委托方认为项目经理或项目技术负责人不能履行合同约定的职责，则甲方和委托方有权要求乙方限期更换相同资历或者更高资历的项目经理或项目技术负责人。</w:t>
      </w:r>
    </w:p>
    <w:p>
      <w:pPr>
        <w:pStyle w:val="1510"/>
        <w:ind w:left="17" w:firstLine="388" w:leftChars="8" w:firstLineChars="185"/>
        <w:rPr>
          <w:rFonts w:ascii="宋体" w:cs="宋体"/>
        </w:rPr>
      </w:pPr>
      <w:r>
        <w:rPr>
          <w:rFonts w:ascii="宋体" w:cs="宋体" w:hint="eastAsia"/>
        </w:rPr>
        <w:t>3.9 乙方应在服务期内及时修复安全漏洞。</w:t>
      </w:r>
    </w:p>
    <w:p>
      <w:pPr>
        <w:pStyle w:val="1510"/>
        <w:ind w:left="17" w:firstLine="388" w:leftChars="8" w:firstLineChars="185"/>
        <w:rPr>
          <w:rFonts w:ascii="宋体" w:cs="宋体"/>
        </w:rPr>
      </w:pPr>
      <w:r>
        <w:rPr>
          <w:rFonts w:ascii="宋体" w:cs="宋体" w:hint="eastAsia"/>
        </w:rPr>
        <w:t>3.10 乙方自行解决开展工作所需的工具。</w:t>
      </w:r>
    </w:p>
    <w:p>
      <w:pPr>
        <w:pStyle w:val="1510"/>
        <w:ind w:left="17" w:firstLine="388" w:leftChars="8" w:firstLineChars="185"/>
        <w:rPr>
          <w:rFonts w:ascii="宋体" w:cs="宋体"/>
        </w:rPr>
      </w:pPr>
      <w:r>
        <w:rPr>
          <w:rFonts w:ascii="宋体" w:cs="宋体" w:hint="eastAsia"/>
        </w:rPr>
        <w:t>3.11乙方在履行合同义务的情形下有权要求甲方按本合同的约定及时支付合同价款。</w:t>
      </w:r>
    </w:p>
    <w:p>
      <w:pPr>
        <w:pStyle w:val="1510"/>
        <w:ind w:left="17" w:firstLine="388" w:leftChars="8" w:firstLineChars="185"/>
        <w:rPr>
          <w:rFonts w:ascii="宋体" w:cs="宋体"/>
        </w:rPr>
      </w:pPr>
      <w:r>
        <w:rPr>
          <w:rFonts w:ascii="宋体" w:cs="宋体" w:hint="eastAsia"/>
        </w:rPr>
        <w:t>3.12 乙方在完成服务后，应在一个月内按甲方要求完成相关工作交接，保障甲方在驻场人员离场后，各项工作可正常开展。</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52" w:name="_Toc499652084"/>
      <w:bookmarkStart w:id="53" w:name="_Toc429385599"/>
      <w:bookmarkStart w:id="54" w:name="_Toc17515"/>
      <w:bookmarkEnd w:id="51"/>
      <w:r>
        <w:rPr>
          <w:rFonts w:ascii="宋体" w:cs="宋体" w:hint="eastAsia"/>
          <w:b/>
        </w:rPr>
        <w:t>付款</w:t>
      </w:r>
      <w:bookmarkEnd w:id="52"/>
      <w:bookmarkEnd w:id="53"/>
      <w:bookmarkEnd w:id="54"/>
    </w:p>
    <w:p>
      <w:pPr>
        <w:pStyle w:val="1510"/>
        <w:tabs>
          <w:tab w:val="left" w:pos="945"/>
        </w:tabs>
        <w:ind w:left="17" w:firstLine="388" w:leftChars="8" w:firstLineChars="185"/>
        <w:rPr>
          <w:rFonts w:ascii="宋体" w:cs="宋体"/>
        </w:rPr>
      </w:pPr>
      <w:bookmarkStart w:id="55" w:name="_Hlk121233228"/>
      <w:r>
        <w:rPr>
          <w:rFonts w:ascii="宋体" w:cs="宋体" w:hint="eastAsia"/>
        </w:rPr>
        <w:t>4.1 合同总价款（人民币大写）：</w:t>
      </w:r>
      <w:r>
        <w:rPr>
          <w:rFonts w:ascii="宋体" w:cs="宋体" w:hint="eastAsia"/>
          <w:u w:val="single"/>
        </w:rPr>
        <w:t xml:space="preserve">                </w:t>
      </w:r>
      <w:r>
        <w:rPr>
          <w:rFonts w:ascii="宋体" w:cs="宋体" w:hint="eastAsia"/>
        </w:rPr>
        <w:t>,合同价款为甲方购买</w:t>
      </w:r>
      <w:r>
        <w:rPr>
          <w:rFonts w:ascii="宋体" w:cs="宋体" w:hint="eastAsia"/>
          <w:u w:val="single"/>
        </w:rPr>
        <w:t>2025年中国电子口岸数据中心深圳分中心信息化业务系统数据传输技术支持服务项目</w:t>
      </w:r>
      <w:r>
        <w:rPr>
          <w:rFonts w:ascii="宋体" w:cs="宋体" w:hint="eastAsia"/>
        </w:rPr>
        <w:t>全部服务内容的总价。除本合同另有约定外，甲方不承担除合同价款之外与本合同有关的其他任何费用。</w:t>
      </w:r>
    </w:p>
    <w:p>
      <w:pPr>
        <w:pStyle w:val="1510"/>
        <w:ind w:left="17" w:firstLine="388" w:leftChars="8" w:firstLineChars="185"/>
        <w:rPr>
          <w:rFonts w:ascii="宋体" w:cs="宋体"/>
        </w:rPr>
      </w:pPr>
      <w:r>
        <w:rPr>
          <w:rFonts w:ascii="宋体" w:cs="宋体" w:hint="eastAsia"/>
        </w:rPr>
        <w:t>4.2 具体支付方式和时间如下：</w:t>
      </w:r>
    </w:p>
    <w:p>
      <w:pPr>
        <w:pStyle w:val="1510"/>
        <w:ind w:left="17" w:firstLine="388" w:leftChars="8" w:firstLineChars="185"/>
        <w:rPr>
          <w:rFonts w:ascii="宋体" w:cs="宋体"/>
        </w:rPr>
      </w:pPr>
      <w:r>
        <w:rPr>
          <w:rFonts w:ascii="宋体" w:cs="宋体" w:hint="eastAsia"/>
        </w:rPr>
        <w:t>1.本合同以人民币付款。</w:t>
      </w:r>
    </w:p>
    <w:p>
      <w:pPr>
        <w:pStyle w:val="1510"/>
        <w:ind w:left="17" w:firstLine="388" w:leftChars="8" w:firstLineChars="185"/>
        <w:rPr>
          <w:rFonts w:ascii="宋体" w:cs="宋体"/>
        </w:rPr>
      </w:pPr>
      <w:r>
        <w:rPr>
          <w:rFonts w:ascii="宋体" w:cs="宋体" w:hint="eastAsia"/>
        </w:rPr>
        <w:t>2.付款办法：</w:t>
      </w:r>
    </w:p>
    <w:p>
      <w:pPr>
        <w:pStyle w:val="1510"/>
        <w:tabs>
          <w:tab w:val="left" w:pos="7538"/>
        </w:tabs>
        <w:spacing w:before="133"/>
        <w:ind w:left="504" w:leftChars="240"/>
        <w:jc w:val="left"/>
        <w:rPr>
          <w:rFonts w:ascii="宋体" w:cs="宋体"/>
        </w:rPr>
      </w:pPr>
      <w:r>
        <w:rPr>
          <w:rFonts w:ascii="宋体" w:cs="宋体" w:hint="eastAsia"/>
        </w:rPr>
        <w:t>（1）合同签订完成，待驻场人员全部到位后，乙方提供驻场人员备案资料及符合甲方要求的对应金额正规发票，甲方向乙方支付合同总价款的30%。</w:t>
      </w:r>
    </w:p>
    <w:p>
      <w:pPr>
        <w:pStyle w:val="1510"/>
        <w:tabs>
          <w:tab w:val="left" w:pos="7538"/>
        </w:tabs>
        <w:spacing w:before="133"/>
        <w:ind w:left="504" w:leftChars="240"/>
        <w:jc w:val="left"/>
        <w:rPr>
          <w:rFonts w:ascii="宋体" w:cs="宋体"/>
        </w:rPr>
      </w:pPr>
      <w:r>
        <w:rPr>
          <w:rFonts w:ascii="宋体" w:cs="宋体" w:hint="eastAsia"/>
        </w:rPr>
        <w:t>（2）合同签订6个月后，乙方提供运维报告等材料及符合甲方要求的对应金额正规发票，甲方向乙方支付合同总价款的20%。</w:t>
      </w:r>
    </w:p>
    <w:p>
      <w:pPr>
        <w:pStyle w:val="1510"/>
        <w:tabs>
          <w:tab w:val="left" w:pos="7538"/>
        </w:tabs>
        <w:spacing w:before="133"/>
        <w:ind w:left="504" w:leftChars="240"/>
        <w:jc w:val="left"/>
        <w:rPr>
          <w:rFonts w:ascii="宋体" w:cs="宋体"/>
        </w:rPr>
      </w:pPr>
      <w:r>
        <w:rPr>
          <w:rFonts w:ascii="宋体" w:cs="宋体" w:hint="eastAsia"/>
        </w:rPr>
        <w:t>（3）合同签订12个月后，乙方按甲方要求提供验收材料及符合甲方要求的对应金额正规发票，经甲方验收通过后30日内，甲方向乙方支付合同总价款的50%。</w:t>
      </w:r>
    </w:p>
    <w:p>
      <w:pPr>
        <w:pStyle w:val="1510"/>
        <w:tabs>
          <w:tab w:val="left" w:pos="7538"/>
        </w:tabs>
        <w:spacing w:before="133"/>
        <w:ind w:left="504" w:leftChars="240"/>
        <w:jc w:val="left"/>
        <w:rPr>
          <w:rFonts w:ascii="宋体" w:cs="宋体"/>
        </w:rPr>
      </w:pPr>
      <w:r>
        <w:rPr>
          <w:rFonts w:ascii="宋体" w:cs="宋体" w:hint="eastAsia"/>
        </w:rPr>
        <w:t>若因乙方未及时提供材料导致支付迟延的，甲方不承担任何责任。</w:t>
      </w:r>
    </w:p>
    <w:p>
      <w:pPr>
        <w:pStyle w:val="1510"/>
        <w:tabs>
          <w:tab w:val="left" w:pos="7538"/>
        </w:tabs>
        <w:spacing w:before="133"/>
        <w:ind w:left="504" w:leftChars="240"/>
        <w:jc w:val="left"/>
        <w:rPr>
          <w:rFonts w:ascii="宋体" w:cs="宋体"/>
        </w:rPr>
      </w:pPr>
      <w:r>
        <w:rPr>
          <w:rFonts w:ascii="宋体" w:cs="宋体" w:hint="eastAsia"/>
        </w:rPr>
        <w:t>相关支付材料包括支付申请、正规税务发票、收款账号信息等。</w:t>
      </w:r>
    </w:p>
    <w:p>
      <w:pPr>
        <w:pStyle w:val="1510"/>
        <w:tabs>
          <w:tab w:val="left" w:pos="7538"/>
        </w:tabs>
        <w:spacing w:before="133"/>
        <w:ind w:left="504" w:leftChars="240"/>
        <w:jc w:val="left"/>
        <w:rPr>
          <w:rFonts w:ascii="宋体" w:cs="宋体"/>
        </w:rPr>
      </w:pPr>
      <w:r>
        <w:rPr>
          <w:rFonts w:ascii="宋体" w:cs="宋体" w:hint="eastAsia"/>
        </w:rPr>
        <w:t>3.在合同签订满一年后，若乙方未能达到服务时长，甲方按实际服务时间（驻场出勤时长）来计算付款或要求执行完服务时长。</w:t>
      </w:r>
    </w:p>
    <w:p>
      <w:pPr>
        <w:pStyle w:val="1510"/>
        <w:ind w:left="17" w:firstLine="388" w:leftChars="8" w:firstLineChars="185"/>
        <w:rPr>
          <w:rFonts w:ascii="宋体" w:cs="宋体"/>
        </w:rPr>
      </w:pPr>
      <w:r>
        <w:rPr>
          <w:rFonts w:ascii="宋体" w:cs="宋体" w:hint="eastAsia"/>
        </w:rPr>
        <w:t xml:space="preserve">4.3 乙方户名、开户银行名称和帐号为： </w:t>
      </w:r>
    </w:p>
    <w:p>
      <w:pPr>
        <w:pStyle w:val="1510"/>
        <w:ind w:left="17" w:firstLine="388" w:leftChars="8" w:firstLineChars="185"/>
        <w:rPr>
          <w:rFonts w:ascii="宋体" w:cs="宋体"/>
        </w:rPr>
      </w:pPr>
      <w:bookmarkStart w:id="56" w:name="_Toc22822"/>
      <w:bookmarkStart w:id="57" w:name="_Toc429385602"/>
      <w:bookmarkStart w:id="58" w:name="_Toc499652085"/>
      <w:bookmarkEnd w:id="55"/>
      <w:r>
        <w:rPr>
          <w:rFonts w:ascii="宋体" w:cs="宋体" w:hint="eastAsia"/>
        </w:rPr>
        <w:t xml:space="preserve">户  名:  </w:t>
      </w:r>
    </w:p>
    <w:p>
      <w:pPr>
        <w:pStyle w:val="1510"/>
        <w:ind w:left="17" w:firstLine="388" w:leftChars="8" w:firstLineChars="185"/>
        <w:rPr>
          <w:rFonts w:ascii="宋体" w:cs="宋体"/>
        </w:rPr>
      </w:pPr>
      <w:r>
        <w:rPr>
          <w:rFonts w:ascii="宋体" w:cs="宋体" w:hint="eastAsia"/>
        </w:rPr>
        <w:t xml:space="preserve">开户行:  </w:t>
      </w:r>
    </w:p>
    <w:p>
      <w:pPr>
        <w:pStyle w:val="1510"/>
        <w:ind w:left="17" w:firstLine="388" w:leftChars="8" w:firstLineChars="185"/>
        <w:rPr>
          <w:rFonts w:ascii="宋体" w:cs="宋体"/>
        </w:rPr>
      </w:pPr>
      <w:r>
        <w:rPr>
          <w:rFonts w:ascii="宋体" w:cs="宋体" w:hint="eastAsia"/>
        </w:rPr>
        <w:t xml:space="preserve">帐 号 :  </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r>
        <w:rPr>
          <w:rFonts w:ascii="宋体" w:cs="宋体" w:hint="eastAsia"/>
          <w:b/>
        </w:rPr>
        <w:t>保密</w:t>
      </w:r>
      <w:bookmarkEnd w:id="56"/>
      <w:bookmarkEnd w:id="57"/>
      <w:bookmarkEnd w:id="58"/>
    </w:p>
    <w:p>
      <w:pPr>
        <w:pStyle w:val="1510"/>
        <w:ind w:left="17" w:firstLine="388" w:leftChars="8" w:firstLineChars="185"/>
        <w:rPr>
          <w:rFonts w:ascii="宋体" w:cs="宋体"/>
        </w:rPr>
      </w:pPr>
      <w:r>
        <w:rPr>
          <w:rFonts w:ascii="宋体" w:cs="宋体" w:hint="eastAsia"/>
        </w:rPr>
        <w:t>5.1 在本合同履行期间及履行完毕后的任何时候，任何一方均应对因履行本合同从对方获取或知悉的保密信息承担保密责任，未经对方书面同意不得向第三方透露，否则应赔偿由此给对方造成的全部损失。</w:t>
      </w:r>
    </w:p>
    <w:p>
      <w:pPr>
        <w:pStyle w:val="1510"/>
        <w:ind w:left="17" w:firstLine="388" w:leftChars="8" w:firstLineChars="185"/>
        <w:rPr>
          <w:rFonts w:ascii="宋体" w:cs="宋体"/>
        </w:rPr>
      </w:pPr>
      <w:r>
        <w:rPr>
          <w:rFonts w:ascii="宋体" w:cs="宋体" w:hint="eastAsia"/>
        </w:rPr>
        <w:t>5.2保密信息指任何一方因履行本合同所知悉的任何以口头、书面、图表或电子形式存在的对方信息，具体包括：</w:t>
      </w:r>
    </w:p>
    <w:p>
      <w:pPr>
        <w:pStyle w:val="1510"/>
        <w:ind w:left="17" w:firstLine="388" w:leftChars="8" w:firstLineChars="185"/>
        <w:rPr>
          <w:rFonts w:ascii="宋体" w:cs="宋体"/>
        </w:rPr>
      </w:pPr>
      <w:r>
        <w:rPr>
          <w:rFonts w:ascii="宋体" w:cs="宋体" w:hint="eastAsia"/>
        </w:rPr>
        <w:t>（1）任何涉及对方过去、现在或将来的计划、方案、预算、采购、内部资料、规章制度、操作规程、处理手段、财务信息；</w:t>
      </w:r>
    </w:p>
    <w:p>
      <w:pPr>
        <w:pStyle w:val="1510"/>
        <w:ind w:left="17" w:firstLine="388" w:leftChars="8" w:firstLineChars="185"/>
        <w:rPr>
          <w:rFonts w:ascii="宋体" w:cs="宋体"/>
        </w:rPr>
      </w:pPr>
      <w:r>
        <w:rPr>
          <w:rFonts w:ascii="宋体" w:cs="宋体" w:hint="eastAsia"/>
        </w:rPr>
        <w:t>（2）任何对方的技术措施、技术方案、软件应用及开发，硬件设备的品种、质量、数量、品牌等；</w:t>
      </w:r>
    </w:p>
    <w:p>
      <w:pPr>
        <w:pStyle w:val="1510"/>
        <w:ind w:left="17" w:firstLine="388" w:leftChars="8" w:firstLineChars="185"/>
        <w:rPr>
          <w:rFonts w:ascii="宋体" w:cs="宋体"/>
        </w:rPr>
      </w:pPr>
      <w:r>
        <w:rPr>
          <w:rFonts w:ascii="宋体" w:cs="宋体" w:hint="eastAsia"/>
        </w:rPr>
        <w:t>（3）任何对方的技术秘密或专有知识、文件 、报告、数据、客户软件、流程图、数据库、发明、知识、及贸易秘密。</w:t>
      </w:r>
    </w:p>
    <w:p>
      <w:pPr>
        <w:pStyle w:val="1510"/>
        <w:ind w:left="17" w:firstLine="388" w:leftChars="8" w:firstLineChars="185"/>
        <w:rPr>
          <w:rFonts w:ascii="宋体" w:cs="宋体"/>
        </w:rPr>
      </w:pPr>
      <w:r>
        <w:rPr>
          <w:rFonts w:ascii="宋体" w:cs="宋体" w:hint="eastAsia"/>
        </w:rPr>
        <w:t>无论上述信息是否享有知识产权。</w:t>
      </w:r>
    </w:p>
    <w:p>
      <w:pPr>
        <w:pStyle w:val="1510"/>
        <w:ind w:left="17" w:firstLine="388" w:leftChars="8" w:firstLineChars="185"/>
        <w:rPr>
          <w:rFonts w:ascii="宋体" w:cs="宋体"/>
        </w:rPr>
      </w:pPr>
      <w:r>
        <w:rPr>
          <w:rFonts w:ascii="宋体" w:cs="宋体" w:hint="eastAsia"/>
        </w:rPr>
        <w:t>5.3乙方应根据甲方和委托方的要求签署相应的保密协议，保密协议与本条款存在不一致的，以保密协议为准。</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59" w:name="_Toc10996"/>
      <w:bookmarkStart w:id="60" w:name="_Toc429385603"/>
      <w:bookmarkStart w:id="61" w:name="_Toc499652086"/>
      <w:r>
        <w:rPr>
          <w:rFonts w:ascii="宋体" w:cs="宋体" w:hint="eastAsia"/>
          <w:b/>
        </w:rPr>
        <w:t>合同修改</w:t>
      </w:r>
      <w:bookmarkEnd w:id="59"/>
      <w:bookmarkEnd w:id="60"/>
      <w:bookmarkEnd w:id="61"/>
    </w:p>
    <w:p>
      <w:pPr>
        <w:pStyle w:val="1510"/>
        <w:ind w:left="17" w:firstLine="388" w:leftChars="8" w:firstLineChars="185"/>
        <w:rPr>
          <w:rFonts w:ascii="宋体" w:cs="宋体"/>
        </w:rPr>
      </w:pPr>
      <w:r>
        <w:rPr>
          <w:rFonts w:ascii="宋体" w:cs="宋体" w:hint="eastAsia"/>
        </w:rPr>
        <w:t>6.1除合同条款第10条的规定外，任何对合同的变更、修改和补充</w:t>
      </w:r>
      <w:r>
        <w:rPr>
          <w:rFonts w:ascii="宋体" w:cs="宋体"/>
        </w:rPr>
        <w:t>，</w:t>
      </w:r>
      <w:r>
        <w:rPr>
          <w:rFonts w:ascii="宋体" w:cs="宋体" w:hint="eastAsia"/>
        </w:rPr>
        <w:t>报甲方和委托方批准后，只有在甲乙双方授权的代表签署书面文件后有效，并作为附件成为本合同不可分割的组成部分，并具有同等法律效果。</w:t>
      </w:r>
    </w:p>
    <w:p>
      <w:pPr>
        <w:pStyle w:val="1510"/>
        <w:ind w:left="17" w:firstLine="388" w:leftChars="8" w:firstLineChars="185"/>
        <w:rPr>
          <w:rFonts w:ascii="宋体" w:cs="宋体"/>
        </w:rPr>
      </w:pPr>
      <w:r>
        <w:rPr>
          <w:rFonts w:ascii="宋体" w:cs="宋体" w:hint="eastAsia"/>
        </w:rPr>
        <w:t>6.2因单方面变更合同，使另一方遭受损失的，应由责任方负责赔偿。</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62" w:name="_Toc499652087"/>
      <w:bookmarkStart w:id="63" w:name="_Toc1404"/>
      <w:bookmarkStart w:id="64" w:name="_Toc429385604"/>
      <w:r>
        <w:rPr>
          <w:rFonts w:ascii="宋体" w:cs="宋体" w:hint="eastAsia"/>
          <w:b/>
        </w:rPr>
        <w:t>违约责任</w:t>
      </w:r>
      <w:bookmarkEnd w:id="62"/>
      <w:bookmarkEnd w:id="63"/>
      <w:bookmarkEnd w:id="64"/>
    </w:p>
    <w:p>
      <w:pPr>
        <w:pStyle w:val="1510"/>
        <w:ind w:left="17" w:firstLine="388" w:leftChars="8" w:firstLineChars="185"/>
        <w:rPr>
          <w:rFonts w:ascii="宋体" w:cs="宋体"/>
        </w:rPr>
      </w:pPr>
      <w:r>
        <w:rPr>
          <w:rFonts w:ascii="宋体" w:cs="宋体" w:hint="eastAsia"/>
        </w:rPr>
        <w:t>7.1本合同生效后，任何一方不履行或不完全履行本合同约定义务的，即构成违约，另一方有权要求违约方按照实际损失承担赔偿责任。</w:t>
      </w:r>
    </w:p>
    <w:p>
      <w:pPr>
        <w:pStyle w:val="1510"/>
        <w:ind w:left="17" w:firstLine="388" w:leftChars="8" w:firstLineChars="185"/>
        <w:rPr>
          <w:rFonts w:ascii="宋体" w:cs="宋体"/>
        </w:rPr>
      </w:pPr>
      <w:r>
        <w:rPr>
          <w:rFonts w:ascii="宋体" w:cs="宋体" w:hint="eastAsia"/>
        </w:rPr>
        <w:t>7.2 由于乙方的过错造成其提供的服务不能满足合同中规定的要求，则甲方有权视情况要求乙方支付违约金，违约金的金额为不满足合同要求部分的服务费金额，并赔偿由此给甲方或委托方带来的相关损失。由于乙方的过错造成其不能按时完成服务的，每逾期（实施计划时间节点）7日，乙方向甲方支付违约金，违约金的金额为不满足合同要求部分的服务费金额的</w:t>
      </w:r>
      <w:r>
        <w:rPr>
          <w:rFonts w:ascii="宋体" w:cs="宋体" w:hint="eastAsia"/>
          <w:u w:val="single"/>
        </w:rPr>
        <w:t xml:space="preserve"> 0.5 </w:t>
      </w:r>
      <w:r>
        <w:rPr>
          <w:rFonts w:ascii="宋体" w:cs="宋体" w:hint="eastAsia"/>
        </w:rPr>
        <w:t>%。上述两项违约金的金额可以叠加。如违约金总额超过合同总额的</w:t>
      </w:r>
      <w:r>
        <w:rPr>
          <w:rFonts w:ascii="宋体" w:cs="宋体" w:hint="eastAsia"/>
          <w:u w:val="single"/>
        </w:rPr>
        <w:t xml:space="preserve"> 5 </w:t>
      </w:r>
      <w:r>
        <w:rPr>
          <w:rFonts w:ascii="宋体" w:cs="宋体" w:hint="eastAsia"/>
        </w:rPr>
        <w:t>%，甲方有权终止合同并要求乙方赔偿由此给甲方或委托方带来的所有损失。</w:t>
      </w:r>
    </w:p>
    <w:p>
      <w:pPr>
        <w:pStyle w:val="1510"/>
        <w:ind w:left="17" w:firstLine="388" w:leftChars="8" w:firstLineChars="185"/>
        <w:rPr>
          <w:rFonts w:ascii="宋体" w:cs="宋体"/>
        </w:rPr>
      </w:pPr>
      <w:r>
        <w:rPr>
          <w:rFonts w:ascii="宋体" w:cs="宋体" w:hint="eastAsia"/>
        </w:rPr>
        <w:t>7.3因合同一方原因致使另一方遭受第三方追诉的，违约方应赔偿由此给另一方造成的损失。</w:t>
      </w:r>
    </w:p>
    <w:p>
      <w:pPr>
        <w:pStyle w:val="1510"/>
        <w:ind w:left="17" w:firstLine="388" w:leftChars="8" w:firstLineChars="185"/>
        <w:rPr>
          <w:rFonts w:ascii="宋体" w:cs="宋体"/>
        </w:rPr>
      </w:pPr>
      <w:r>
        <w:rPr>
          <w:rFonts w:ascii="宋体" w:cs="宋体" w:hint="eastAsia"/>
        </w:rPr>
        <w:t>7.4乙方服务质量不能达到甲方组织的专家组的评估要求，甲方有权终止合同，乙方应退还甲方已支付的全部费用（计息，利息从乙方实际收到款项之日起按照贷款市场报价利率的1.5倍计算，计至款项实际退还之日止），并要求乙方赔偿相应的全部损失。</w:t>
      </w:r>
    </w:p>
    <w:p>
      <w:pPr>
        <w:pStyle w:val="1510"/>
        <w:ind w:left="17" w:firstLine="388" w:leftChars="8" w:firstLineChars="185"/>
        <w:rPr>
          <w:rFonts w:ascii="宋体" w:cs="宋体"/>
        </w:rPr>
      </w:pPr>
      <w:r>
        <w:rPr>
          <w:rFonts w:ascii="宋体" w:cs="宋体" w:hint="eastAsia"/>
        </w:rPr>
        <w:t>7.5 若甲方因财政资金未到位、政府集中支付导致延误付款无需承担违约责任，乙方不得以此为由擅自停止执行合同或停止提供服务。</w:t>
      </w:r>
    </w:p>
    <w:p>
      <w:pPr>
        <w:pStyle w:val="1510"/>
        <w:ind w:left="17" w:firstLine="388" w:leftChars="8" w:firstLineChars="185"/>
        <w:rPr>
          <w:rFonts w:ascii="宋体" w:cs="宋体"/>
        </w:rPr>
      </w:pPr>
      <w:r>
        <w:rPr>
          <w:rFonts w:ascii="宋体" w:cs="宋体" w:hint="eastAsia"/>
        </w:rPr>
        <w:t xml:space="preserve">7.6 </w:t>
      </w:r>
      <w:r>
        <w:rPr>
          <w:rFonts w:ascii="宋体" w:cs="宋体"/>
        </w:rPr>
        <w:t>若乙方在收到甲方的违约通知书或类似的其它书面通知之日起7</w:t>
      </w:r>
      <w:r>
        <w:rPr>
          <w:rFonts w:ascii="宋体" w:cs="宋体" w:hint="eastAsia"/>
        </w:rPr>
        <w:t>日</w:t>
      </w:r>
      <w:r>
        <w:rPr>
          <w:rFonts w:ascii="宋体" w:cs="宋体"/>
        </w:rPr>
        <w:t>内未作答复</w:t>
      </w:r>
      <w:r>
        <w:rPr>
          <w:rFonts w:ascii="宋体" w:cs="宋体" w:hint="eastAsia"/>
        </w:rPr>
        <w:t>，</w:t>
      </w:r>
      <w:r>
        <w:rPr>
          <w:rFonts w:ascii="宋体" w:cs="宋体"/>
        </w:rPr>
        <w:t>也没有按照甲方选择的方式承担违约责任，则甲方有权直接从尚未支付的合同价款中扣留相当于甲方选择的方式计算的索赔金额</w:t>
      </w:r>
      <w:r>
        <w:rPr>
          <w:rFonts w:ascii="宋体" w:cs="宋体" w:hint="eastAsia"/>
        </w:rPr>
        <w:t>，</w:t>
      </w:r>
      <w:r>
        <w:rPr>
          <w:rFonts w:ascii="宋体" w:cs="宋体"/>
        </w:rPr>
        <w:t xml:space="preserve">包括违约金。若这些金额不足以补偿，乙方仍应承担不足部分的赔偿或支付责任。 </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65" w:name="_Toc17979"/>
      <w:bookmarkStart w:id="66" w:name="_Toc429385605"/>
      <w:bookmarkStart w:id="67" w:name="_Toc499652088"/>
      <w:r>
        <w:rPr>
          <w:rFonts w:ascii="宋体" w:cs="宋体" w:hint="eastAsia"/>
          <w:b/>
        </w:rPr>
        <w:t>合同终止</w:t>
      </w:r>
      <w:bookmarkEnd w:id="65"/>
      <w:bookmarkEnd w:id="66"/>
      <w:bookmarkEnd w:id="67"/>
    </w:p>
    <w:p>
      <w:pPr>
        <w:pStyle w:val="1510"/>
        <w:widowControl/>
        <w:snapToGrid w:val="0"/>
        <w:spacing w:before="156"/>
        <w:ind w:left="17" w:firstLine="388" w:leftChars="8" w:firstLineChars="185"/>
        <w:rPr>
          <w:rFonts w:ascii="宋体" w:cs="宋体"/>
        </w:rPr>
      </w:pPr>
      <w:r>
        <w:rPr>
          <w:rFonts w:ascii="宋体" w:cs="宋体" w:hint="eastAsia"/>
        </w:rPr>
        <w:t>由于合同一方不履行合同或严重违反合同，造成合同部分或全部无法履行时，对方除有权向违约方索赔外，并有权部分或全部终止合同。对于部分终止的合同，违约方除应承担规定的责任外，还应继续履行合同的剩余部分。</w:t>
      </w:r>
    </w:p>
    <w:p>
      <w:pPr>
        <w:pStyle w:val="1510"/>
        <w:ind w:left="17" w:firstLine="388" w:leftChars="8" w:firstLineChars="185"/>
        <w:rPr>
          <w:rFonts w:ascii="宋体" w:cs="宋体"/>
        </w:rPr>
      </w:pPr>
      <w:r>
        <w:rPr>
          <w:rFonts w:ascii="宋体" w:cs="宋体" w:hint="eastAsia"/>
        </w:rPr>
        <w:t>8.1违约终止合同</w:t>
      </w:r>
    </w:p>
    <w:p>
      <w:pPr>
        <w:pStyle w:val="1510"/>
        <w:ind w:left="17" w:firstLine="388" w:leftChars="8" w:firstLineChars="185"/>
        <w:rPr>
          <w:rFonts w:ascii="宋体" w:cs="宋体"/>
        </w:rPr>
      </w:pPr>
      <w:r>
        <w:rPr>
          <w:rFonts w:ascii="宋体" w:cs="宋体" w:hint="eastAsia"/>
        </w:rPr>
        <w:t>在甲方对乙方违约而采取的任何补救措施不受影响的情况下，甲方可向乙方发出书面违约通知书，提出终止部分或全部合同：</w:t>
      </w:r>
    </w:p>
    <w:p>
      <w:pPr>
        <w:pStyle w:val="1510"/>
        <w:ind w:left="17" w:firstLine="388" w:leftChars="8" w:firstLineChars="185"/>
        <w:rPr>
          <w:rFonts w:ascii="宋体" w:cs="宋体"/>
        </w:rPr>
      </w:pPr>
      <w:r>
        <w:rPr>
          <w:rFonts w:ascii="宋体" w:cs="宋体" w:hint="eastAsia"/>
        </w:rPr>
        <w:t>（1）如果乙方未能在合同规定的期限或甲方根据合同条款的规定同意延长的限期内提供部分或全部的货物或服务，达到合同所规定的建设需求和服务</w:t>
      </w:r>
      <w:r>
        <w:rPr>
          <w:rFonts w:ascii="宋体" w:cs="宋体"/>
        </w:rPr>
        <w:t>。</w:t>
      </w:r>
    </w:p>
    <w:p>
      <w:pPr>
        <w:pStyle w:val="1510"/>
        <w:ind w:left="17" w:firstLine="388" w:leftChars="8" w:firstLineChars="185"/>
        <w:rPr>
          <w:rFonts w:ascii="宋体" w:cs="宋体"/>
        </w:rPr>
      </w:pPr>
      <w:r>
        <w:rPr>
          <w:rFonts w:ascii="宋体" w:cs="宋体" w:hint="eastAsia"/>
        </w:rPr>
        <w:t>（2）如果乙方未能履行合同规定的其他任何义务。</w:t>
      </w:r>
    </w:p>
    <w:p>
      <w:pPr>
        <w:pStyle w:val="1510"/>
        <w:ind w:left="17" w:firstLine="388" w:leftChars="8" w:firstLineChars="185"/>
        <w:rPr>
          <w:rFonts w:ascii="宋体" w:cs="宋体"/>
        </w:rPr>
      </w:pPr>
      <w:r>
        <w:rPr>
          <w:rFonts w:ascii="宋体" w:cs="宋体" w:hint="eastAsia"/>
        </w:rPr>
        <w:t>如果甲方根据上述规定与乙方全部或部分终止合同，经双方协商，甲方可以依其认为适当的条件和方法购买与未交付成果类似的货物或服务，乙方应承担甲方因购买类似货物或服务而产生的额外支出（支出总额应不超过合同总价的5%）。</w:t>
      </w:r>
    </w:p>
    <w:p>
      <w:pPr>
        <w:pStyle w:val="1510"/>
        <w:widowControl/>
        <w:snapToGrid w:val="0"/>
        <w:spacing w:before="156"/>
        <w:ind w:left="17" w:firstLine="388" w:leftChars="8" w:firstLineChars="185"/>
        <w:rPr>
          <w:rFonts w:ascii="宋体" w:cs="宋体"/>
        </w:rPr>
      </w:pPr>
      <w:r>
        <w:rPr>
          <w:rFonts w:ascii="宋体" w:cs="宋体" w:hint="eastAsia"/>
        </w:rPr>
        <w:t>8.2 因破产而终止合同</w:t>
      </w:r>
    </w:p>
    <w:p>
      <w:pPr>
        <w:pStyle w:val="1510"/>
        <w:widowControl/>
        <w:snapToGrid w:val="0"/>
        <w:spacing w:before="156"/>
        <w:ind w:left="17" w:firstLine="388" w:leftChars="8" w:firstLineChars="185"/>
        <w:rPr>
          <w:rFonts w:ascii="宋体" w:cs="宋体"/>
        </w:rPr>
      </w:pPr>
      <w:r>
        <w:rPr>
          <w:rFonts w:ascii="宋体" w:cs="宋体" w:hint="eastAsia"/>
        </w:rPr>
        <w:t>如果乙方破产或无清偿能力，甲方可在任何时候以书面形式通知乙方，提出终止合同而不给乙方补偿，并有权要求乙方退回甲方已支付的合同经费。该终止合同将不损害或影响甲方已经采取或将要采取的任何行动或补救措施的权利。</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68" w:name="_Toc4707"/>
      <w:bookmarkStart w:id="69" w:name="_Toc429385606"/>
      <w:bookmarkStart w:id="70" w:name="_Toc499652089"/>
      <w:r>
        <w:rPr>
          <w:rFonts w:ascii="宋体" w:cs="宋体" w:hint="eastAsia"/>
          <w:b/>
        </w:rPr>
        <w:t>乙方的保证</w:t>
      </w:r>
      <w:bookmarkEnd w:id="68"/>
      <w:bookmarkEnd w:id="69"/>
      <w:bookmarkEnd w:id="70"/>
    </w:p>
    <w:p>
      <w:pPr>
        <w:pStyle w:val="1510"/>
        <w:ind w:left="17" w:firstLine="388" w:leftChars="8" w:firstLineChars="185"/>
        <w:rPr>
          <w:rFonts w:ascii="宋体" w:cs="宋体"/>
          <w:b/>
        </w:rPr>
      </w:pPr>
      <w:r>
        <w:rPr>
          <w:rFonts w:ascii="宋体" w:cs="宋体" w:hint="eastAsia"/>
        </w:rPr>
        <w:t>9.1乙方保证在履行本合同过程中提供的服务不侵犯任何第三方的合法权益或引起任何第三方的指控或行政机关的处罚，如有任何第三方向甲方或委托方主张侵权或赔偿或行政处罚，因此而发生的一切费用、赔偿金及罚金由乙方承担。同时乙方需提供全力支持，防止因上述侵权或可能的侵权给甲方或委托方造成的损失，包括但不限于提供甲方和委托方继续使用本合同项下的服务而需取得的第三方授权、修改本合同项下服务使其至少在功能上可以替代原服务、提供功能上相等的使甲方和委托方可以达到本合同目的的其他服务，并由乙方承担因此而产生的所有的费用。</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71" w:name="_Toc374628680"/>
      <w:bookmarkStart w:id="72" w:name="_Toc374625906"/>
      <w:bookmarkStart w:id="73" w:name="_Toc374628896"/>
      <w:bookmarkStart w:id="74" w:name="_Toc499652090"/>
      <w:bookmarkStart w:id="75" w:name="_Toc17519"/>
      <w:bookmarkStart w:id="76" w:name="_Toc429385607"/>
      <w:bookmarkEnd w:id="71"/>
      <w:bookmarkEnd w:id="72"/>
      <w:bookmarkEnd w:id="73"/>
      <w:r>
        <w:rPr>
          <w:rFonts w:ascii="宋体" w:cs="宋体" w:hint="eastAsia"/>
          <w:b/>
        </w:rPr>
        <w:t>不可抗力</w:t>
      </w:r>
      <w:bookmarkEnd w:id="74"/>
      <w:bookmarkEnd w:id="75"/>
      <w:bookmarkEnd w:id="76"/>
    </w:p>
    <w:p>
      <w:pPr>
        <w:pStyle w:val="1510"/>
        <w:ind w:left="17" w:firstLine="388" w:leftChars="8" w:firstLineChars="185"/>
        <w:rPr>
          <w:rFonts w:ascii="宋体" w:cs="宋体"/>
        </w:rPr>
      </w:pPr>
      <w:r>
        <w:rPr>
          <w:rFonts w:ascii="宋体" w:cs="宋体" w:hint="eastAsia"/>
        </w:rPr>
        <w:t>10.1 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w:t>
      </w:r>
    </w:p>
    <w:p>
      <w:pPr>
        <w:pStyle w:val="1510"/>
        <w:ind w:left="17" w:firstLine="388" w:leftChars="8" w:firstLineChars="185"/>
        <w:rPr>
          <w:rFonts w:ascii="宋体" w:cs="宋体"/>
        </w:rPr>
      </w:pPr>
      <w:r>
        <w:rPr>
          <w:rFonts w:ascii="宋体" w:cs="宋体" w:hint="eastAsia"/>
        </w:rPr>
        <w:t>10.2 受不可抗力影响一方应在不可抗力事件发生后</w:t>
      </w:r>
      <w:r>
        <w:rPr>
          <w:rFonts w:ascii="宋体" w:cs="宋体" w:hint="eastAsia"/>
          <w:u w:val="single"/>
        </w:rPr>
        <w:t xml:space="preserve"> 7 </w:t>
      </w:r>
      <w:r>
        <w:rPr>
          <w:rFonts w:ascii="宋体" w:cs="宋体" w:hint="eastAsia"/>
        </w:rPr>
        <w:t>个工作日内将不能履行本合同的原因书面通知对方，并提供有关证明文件。</w:t>
      </w:r>
    </w:p>
    <w:p>
      <w:pPr>
        <w:pStyle w:val="1510"/>
        <w:ind w:left="17" w:firstLine="388" w:leftChars="8" w:firstLineChars="185"/>
        <w:rPr>
          <w:rFonts w:ascii="宋体" w:cs="宋体"/>
        </w:rPr>
      </w:pPr>
      <w:r>
        <w:rPr>
          <w:rFonts w:ascii="宋体" w:cs="宋体" w:hint="eastAsia"/>
        </w:rPr>
        <w:t>10.3 不可抗力影响结束后，受影响一方应在</w:t>
      </w:r>
      <w:r>
        <w:rPr>
          <w:rFonts w:ascii="宋体" w:cs="宋体" w:hint="eastAsia"/>
          <w:u w:val="single"/>
        </w:rPr>
        <w:t xml:space="preserve"> 7 </w:t>
      </w:r>
      <w:r>
        <w:rPr>
          <w:rFonts w:ascii="宋体" w:cs="宋体" w:hint="eastAsia"/>
        </w:rPr>
        <w:t>个工作日内书面通知对方。</w:t>
      </w:r>
    </w:p>
    <w:p>
      <w:pPr>
        <w:pStyle w:val="1510"/>
        <w:ind w:left="17" w:firstLine="388" w:leftChars="8" w:firstLineChars="185"/>
        <w:rPr>
          <w:rFonts w:ascii="宋体" w:cs="宋体"/>
        </w:rPr>
      </w:pPr>
      <w:r>
        <w:rPr>
          <w:rFonts w:ascii="宋体" w:cs="宋体" w:hint="eastAsia"/>
        </w:rPr>
        <w:t>10.4 如果不可抗力影响超过</w:t>
      </w:r>
      <w:r>
        <w:rPr>
          <w:rFonts w:ascii="宋体" w:cs="宋体" w:hint="eastAsia"/>
          <w:u w:val="single"/>
        </w:rPr>
        <w:t xml:space="preserve"> 60 </w:t>
      </w:r>
      <w:r>
        <w:rPr>
          <w:rFonts w:ascii="宋体" w:cs="宋体" w:hint="eastAsia"/>
        </w:rPr>
        <w:t>日，各方可协商解决此后的合同执行问题。</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77" w:name="_Toc429385608"/>
      <w:bookmarkStart w:id="78" w:name="_Toc499652091"/>
      <w:bookmarkStart w:id="79" w:name="_Toc26037"/>
      <w:r>
        <w:rPr>
          <w:rFonts w:ascii="宋体" w:cs="宋体" w:hint="eastAsia"/>
          <w:b/>
        </w:rPr>
        <w:t>项目知识产权</w:t>
      </w:r>
      <w:bookmarkEnd w:id="77"/>
      <w:bookmarkEnd w:id="78"/>
      <w:bookmarkEnd w:id="79"/>
    </w:p>
    <w:p>
      <w:pPr>
        <w:pStyle w:val="1510"/>
        <w:ind w:left="17" w:firstLine="388" w:leftChars="8" w:firstLineChars="185"/>
        <w:rPr>
          <w:rFonts w:ascii="宋体" w:cs="宋体"/>
          <w:bCs/>
        </w:rPr>
      </w:pPr>
      <w:r>
        <w:rPr>
          <w:rFonts w:ascii="宋体" w:cs="宋体" w:hint="eastAsia"/>
          <w:bCs/>
        </w:rPr>
        <w:t>11.1本项目中服务所提供的系统的版权属于</w:t>
      </w:r>
      <w:r>
        <w:rPr>
          <w:rFonts w:ascii="宋体" w:cs="宋体" w:hint="eastAsia"/>
        </w:rPr>
        <w:t>委托方</w:t>
      </w:r>
      <w:r>
        <w:rPr>
          <w:rFonts w:ascii="宋体" w:cs="宋体" w:hint="eastAsia"/>
          <w:bCs/>
        </w:rPr>
        <w:t>所有，乙方应向</w:t>
      </w:r>
      <w:r>
        <w:rPr>
          <w:rFonts w:ascii="宋体" w:cs="宋体" w:hint="eastAsia"/>
        </w:rPr>
        <w:t>甲方和委托方</w:t>
      </w:r>
      <w:r>
        <w:rPr>
          <w:rFonts w:ascii="宋体" w:cs="宋体" w:hint="eastAsia"/>
          <w:bCs/>
        </w:rPr>
        <w:t>提供该项目软件集成开发全部源代码（含质保期内的后续升级版本）等技术资料，保障甲方的二次开发权等权利，乙方不得向任何第三方提供。本系统的设计开发知识产权由</w:t>
      </w:r>
      <w:r>
        <w:rPr>
          <w:rFonts w:ascii="宋体" w:cs="宋体" w:hint="eastAsia"/>
        </w:rPr>
        <w:t>委托方</w:t>
      </w:r>
      <w:r>
        <w:rPr>
          <w:rFonts w:ascii="宋体" w:cs="宋体" w:hint="eastAsia"/>
          <w:bCs/>
        </w:rPr>
        <w:t>拥有。本系统的设计开发专利申请权归委托方所有。本系统的技术秘密的使用权、转让权归</w:t>
      </w:r>
      <w:r>
        <w:rPr>
          <w:rFonts w:ascii="宋体" w:cs="宋体" w:hint="eastAsia"/>
        </w:rPr>
        <w:t>委托方</w:t>
      </w:r>
      <w:r>
        <w:rPr>
          <w:rFonts w:ascii="宋体" w:cs="宋体" w:hint="eastAsia"/>
          <w:bCs/>
        </w:rPr>
        <w:t>所有。</w:t>
      </w:r>
      <w:r>
        <w:rPr>
          <w:rFonts w:ascii="宋体" w:cs="宋体" w:hint="eastAsia"/>
        </w:rPr>
        <w:t>另外，若在乙方交付给甲方的成果中包含了乙方合法获得的知识产权，乙方在此同意授予甲方非独家的、可转让的、免费的、永久的和无限制的使用权。</w:t>
      </w:r>
      <w:r>
        <w:rPr>
          <w:rFonts w:ascii="宋体" w:cs="宋体" w:hint="eastAsia"/>
          <w:bCs/>
        </w:rPr>
        <w:t>。</w:t>
      </w:r>
    </w:p>
    <w:p>
      <w:pPr>
        <w:pStyle w:val="1510"/>
        <w:ind w:left="17" w:firstLine="388" w:leftChars="8" w:firstLineChars="185"/>
        <w:rPr>
          <w:rFonts w:ascii="宋体" w:cs="宋体"/>
          <w:bCs/>
        </w:rPr>
      </w:pPr>
      <w:r>
        <w:rPr>
          <w:rFonts w:ascii="宋体" w:cs="宋体" w:hint="eastAsia"/>
          <w:bCs/>
        </w:rPr>
        <w:t>11.2 如涉及软件集成开发工作，必须安排海关骨干人员参与核心工作，工作结束后带回源代码并纳入委托方原版库管理，以便后续修改维护。</w:t>
      </w:r>
    </w:p>
    <w:p>
      <w:pPr>
        <w:pStyle w:val="1510"/>
        <w:ind w:left="17" w:firstLine="388" w:leftChars="8" w:firstLineChars="185"/>
        <w:rPr>
          <w:rFonts w:ascii="宋体" w:cs="宋体"/>
          <w:bCs/>
        </w:rPr>
      </w:pPr>
      <w:r>
        <w:rPr>
          <w:rFonts w:ascii="宋体" w:cs="宋体" w:hint="eastAsia"/>
          <w:bCs/>
        </w:rPr>
        <w:t>11.3乙方应保证</w:t>
      </w:r>
      <w:r>
        <w:rPr>
          <w:rFonts w:ascii="宋体" w:cs="宋体" w:hint="eastAsia"/>
        </w:rPr>
        <w:t>甲方和委托方</w:t>
      </w:r>
      <w:r>
        <w:rPr>
          <w:rFonts w:ascii="宋体" w:cs="宋体" w:hint="eastAsia"/>
          <w:bCs/>
        </w:rPr>
        <w:t>在中华人民共和国使用该系统产品或系统产品的任何一部分时，免受第三方提出的侵犯其专利权、商标权或工业设计权的索赔或起诉。</w:t>
      </w:r>
    </w:p>
    <w:p>
      <w:pPr>
        <w:pStyle w:val="1510"/>
        <w:ind w:left="17" w:firstLine="388" w:leftChars="8" w:firstLineChars="185"/>
        <w:rPr>
          <w:rFonts w:ascii="宋体" w:cs="宋体"/>
          <w:bCs/>
        </w:rPr>
      </w:pPr>
      <w:r>
        <w:rPr>
          <w:rFonts w:ascii="宋体" w:cs="宋体" w:hint="eastAsia"/>
          <w:bCs/>
        </w:rPr>
        <w:t>11.4如果</w:t>
      </w:r>
      <w:r>
        <w:rPr>
          <w:rFonts w:ascii="宋体" w:cs="宋体" w:hint="eastAsia"/>
        </w:rPr>
        <w:t>甲方或委托方</w:t>
      </w:r>
      <w:r>
        <w:rPr>
          <w:rFonts w:ascii="宋体" w:cs="宋体" w:hint="eastAsia"/>
          <w:bCs/>
        </w:rPr>
        <w:t>在使用该货物及服务或货物及服务的任何一部分时被任何第三方诉称侵犯了该第三方知识产权或任何其它权利，</w:t>
      </w:r>
      <w:r>
        <w:rPr>
          <w:rFonts w:ascii="宋体" w:cs="宋体" w:hint="eastAsia"/>
        </w:rPr>
        <w:t>甲方或委托方</w:t>
      </w:r>
      <w:r>
        <w:rPr>
          <w:rFonts w:ascii="宋体" w:cs="宋体" w:hint="eastAsia"/>
          <w:bCs/>
        </w:rPr>
        <w:t>应立即通知乙方。乙方应负责处理这一指控并应以乙方的名义自负费用向起诉方提出抗辩。由此可能产生的一切法律责任和经济责任均由乙方承担。</w:t>
      </w:r>
      <w:r>
        <w:rPr>
          <w:rFonts w:ascii="宋体" w:cs="宋体" w:hint="eastAsia"/>
        </w:rPr>
        <w:t>甲方或委托方</w:t>
      </w:r>
      <w:r>
        <w:rPr>
          <w:rFonts w:ascii="宋体" w:cs="宋体" w:hint="eastAsia"/>
          <w:bCs/>
        </w:rPr>
        <w:t>将尽可能地对乙方抗辩给予协助，由此发生的费用由乙方承担。</w:t>
      </w:r>
    </w:p>
    <w:p>
      <w:pPr>
        <w:pStyle w:val="1510"/>
        <w:ind w:left="17" w:firstLine="388" w:leftChars="8" w:firstLineChars="185"/>
        <w:rPr>
          <w:rFonts w:ascii="宋体" w:cs="宋体"/>
          <w:bCs/>
        </w:rPr>
      </w:pPr>
      <w:r>
        <w:rPr>
          <w:rFonts w:ascii="宋体" w:cs="宋体" w:hint="eastAsia"/>
          <w:bCs/>
        </w:rPr>
        <w:t>11.5如果</w:t>
      </w:r>
      <w:r>
        <w:rPr>
          <w:rFonts w:ascii="宋体" w:cs="宋体" w:hint="eastAsia"/>
        </w:rPr>
        <w:t>甲方或委托方</w:t>
      </w:r>
      <w:r>
        <w:rPr>
          <w:rFonts w:ascii="宋体" w:cs="宋体" w:hint="eastAsia"/>
          <w:bCs/>
        </w:rPr>
        <w:t>发现任何第三方在甲方未被许可的范围内非法使用甲方获得的知识产权，</w:t>
      </w:r>
      <w:r>
        <w:rPr>
          <w:rFonts w:ascii="宋体" w:cs="宋体" w:hint="eastAsia"/>
        </w:rPr>
        <w:t>甲方或委托方</w:t>
      </w:r>
      <w:r>
        <w:rPr>
          <w:rFonts w:ascii="宋体" w:cs="宋体" w:hint="eastAsia"/>
          <w:bCs/>
        </w:rPr>
        <w:t>应立即通知乙方。乙方应在收到通知后14日</w:t>
      </w:r>
      <w:r>
        <w:rPr>
          <w:rFonts w:ascii="宋体" w:hint="eastAsia"/>
        </w:rPr>
        <w:t>（日历日）</w:t>
      </w:r>
      <w:r>
        <w:rPr>
          <w:rFonts w:ascii="宋体" w:cs="宋体" w:hint="eastAsia"/>
          <w:bCs/>
        </w:rPr>
        <w:t>内采取适当行动以制止非法使用行为；否则，如果</w:t>
      </w:r>
      <w:r>
        <w:rPr>
          <w:rFonts w:ascii="宋体" w:cs="宋体" w:hint="eastAsia"/>
        </w:rPr>
        <w:t>甲方或委托方</w:t>
      </w:r>
      <w:r>
        <w:rPr>
          <w:rFonts w:ascii="宋体" w:cs="宋体" w:hint="eastAsia"/>
          <w:bCs/>
        </w:rPr>
        <w:t>要求，乙方应授权</w:t>
      </w:r>
      <w:r>
        <w:rPr>
          <w:rFonts w:ascii="宋体" w:cs="宋体" w:hint="eastAsia"/>
        </w:rPr>
        <w:t>甲方或委托方</w:t>
      </w:r>
      <w:r>
        <w:rPr>
          <w:rFonts w:ascii="宋体" w:cs="宋体" w:hint="eastAsia"/>
          <w:bCs/>
        </w:rPr>
        <w:t>根据中国法律规定对该第三方提起诉讼，并给</w:t>
      </w:r>
      <w:r>
        <w:rPr>
          <w:rFonts w:ascii="宋体" w:cs="宋体" w:hint="eastAsia"/>
        </w:rPr>
        <w:t>甲方或委托方</w:t>
      </w:r>
      <w:r>
        <w:rPr>
          <w:rFonts w:ascii="宋体" w:cs="宋体" w:hint="eastAsia"/>
          <w:bCs/>
        </w:rPr>
        <w:t>尽可能的协助。</w:t>
      </w:r>
      <w:r>
        <w:rPr>
          <w:rFonts w:ascii="宋体" w:cs="宋体" w:hint="eastAsia"/>
        </w:rPr>
        <w:t>甲方或委托方</w:t>
      </w:r>
      <w:r>
        <w:rPr>
          <w:rFonts w:ascii="宋体" w:cs="宋体" w:hint="eastAsia"/>
          <w:bCs/>
        </w:rPr>
        <w:t>应负担诉讼中发生的全部费用，并有权获得判决给付的全部赔偿。如果有乙方的责任，由乙方承担相应的责任。</w:t>
      </w:r>
    </w:p>
    <w:p>
      <w:pPr>
        <w:pStyle w:val="1510"/>
        <w:ind w:left="17" w:firstLine="388" w:leftChars="8" w:firstLineChars="185"/>
        <w:rPr>
          <w:rFonts w:ascii="宋体" w:cs="宋体"/>
          <w:bCs/>
        </w:rPr>
      </w:pPr>
      <w:r>
        <w:rPr>
          <w:rFonts w:ascii="宋体" w:cs="宋体" w:hint="eastAsia"/>
          <w:bCs/>
        </w:rPr>
        <w:t>11.6在本项目的实施过程中，如果根据设计需要购置其他软件产品或组件，包括乙方自主知识产权的产品，都必须向</w:t>
      </w:r>
      <w:r>
        <w:rPr>
          <w:rFonts w:ascii="宋体" w:cs="宋体" w:hint="eastAsia"/>
        </w:rPr>
        <w:t>甲方和委托方</w:t>
      </w:r>
      <w:r>
        <w:rPr>
          <w:rFonts w:ascii="宋体" w:cs="宋体" w:hint="eastAsia"/>
          <w:bCs/>
        </w:rPr>
        <w:t>做出详细说明，并列出软件产品的详细清单，包括产品名称、功能、用途、供应商、用户数、质量保证期等。</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80" w:name="_Toc499652092"/>
      <w:bookmarkStart w:id="81" w:name="_Toc429385609"/>
      <w:bookmarkStart w:id="82" w:name="_Toc10964"/>
      <w:r>
        <w:rPr>
          <w:rFonts w:ascii="宋体" w:cs="宋体" w:hint="eastAsia"/>
          <w:b/>
        </w:rPr>
        <w:t>诉讼</w:t>
      </w:r>
      <w:bookmarkEnd w:id="80"/>
      <w:bookmarkEnd w:id="81"/>
      <w:bookmarkEnd w:id="82"/>
    </w:p>
    <w:p>
      <w:pPr>
        <w:pStyle w:val="1510"/>
        <w:ind w:left="17" w:firstLine="388" w:leftChars="8" w:firstLineChars="185"/>
        <w:rPr>
          <w:rFonts w:ascii="宋体" w:cs="宋体"/>
          <w:bCs/>
        </w:rPr>
      </w:pPr>
      <w:r>
        <w:rPr>
          <w:rFonts w:ascii="宋体" w:cs="宋体" w:hint="eastAsia"/>
          <w:bCs/>
        </w:rPr>
        <w:t>12.1合同的实施或与合同有关的一切争端应通过双方友好协商解决。如果友好协商开始60日后还不能解决，任何一方都可依法向</w:t>
      </w:r>
      <w:r>
        <w:rPr>
          <w:rFonts w:ascii="宋体" w:cs="宋体" w:hint="eastAsia"/>
          <w:u w:val="single"/>
        </w:rPr>
        <w:t>甲方所在地人民法院</w:t>
      </w:r>
      <w:r>
        <w:rPr>
          <w:rFonts w:ascii="宋体" w:cs="宋体" w:hint="eastAsia"/>
        </w:rPr>
        <w:t>提起诉讼。</w:t>
      </w:r>
    </w:p>
    <w:p>
      <w:pPr>
        <w:pStyle w:val="1510"/>
        <w:ind w:left="17" w:firstLine="388" w:leftChars="8" w:firstLineChars="185"/>
        <w:rPr>
          <w:rFonts w:ascii="宋体" w:cs="宋体"/>
          <w:bCs/>
        </w:rPr>
      </w:pPr>
      <w:r>
        <w:rPr>
          <w:rFonts w:ascii="宋体" w:cs="宋体" w:hint="eastAsia"/>
          <w:bCs/>
        </w:rPr>
        <w:t>12.2诉讼费除人民法院另有裁决外均由败诉方负担。</w:t>
      </w:r>
    </w:p>
    <w:p>
      <w:pPr>
        <w:pStyle w:val="1510"/>
        <w:ind w:left="17" w:firstLine="388" w:leftChars="8" w:firstLineChars="185"/>
        <w:rPr>
          <w:rFonts w:ascii="宋体" w:cs="宋体"/>
          <w:bCs/>
        </w:rPr>
      </w:pPr>
      <w:r>
        <w:rPr>
          <w:rFonts w:ascii="宋体" w:cs="宋体" w:hint="eastAsia"/>
          <w:bCs/>
        </w:rPr>
        <w:t>12.3在诉讼期间，除正在进行诉讼的部分以外，双方应继续执行合同的其余部分。</w:t>
      </w:r>
    </w:p>
    <w:p>
      <w:pPr>
        <w:pStyle w:val="1510"/>
        <w:ind w:left="17" w:firstLine="388" w:leftChars="8" w:firstLineChars="185"/>
        <w:rPr>
          <w:rFonts w:ascii="宋体" w:cs="宋体"/>
          <w:bCs/>
        </w:rPr>
      </w:pPr>
      <w:r>
        <w:rPr>
          <w:rFonts w:ascii="宋体" w:cs="宋体" w:hint="eastAsia"/>
          <w:bCs/>
        </w:rPr>
        <w:t>12.4本合同适用中华人民共和国法律。</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bookmarkStart w:id="83" w:name="_Toc429385611"/>
      <w:bookmarkStart w:id="84" w:name="_Toc13075"/>
      <w:bookmarkStart w:id="85" w:name="_Toc499652093"/>
      <w:r>
        <w:rPr>
          <w:rFonts w:ascii="宋体" w:cs="宋体" w:hint="eastAsia"/>
          <w:b/>
        </w:rPr>
        <w:t>其他</w:t>
      </w:r>
      <w:bookmarkEnd w:id="83"/>
      <w:bookmarkEnd w:id="84"/>
      <w:bookmarkEnd w:id="85"/>
    </w:p>
    <w:p>
      <w:pPr>
        <w:pStyle w:val="1510"/>
        <w:ind w:left="17" w:firstLine="388" w:leftChars="8" w:firstLineChars="185"/>
        <w:rPr>
          <w:rFonts w:ascii="宋体" w:cs="宋体"/>
          <w:b/>
        </w:rPr>
      </w:pPr>
      <w:r>
        <w:rPr>
          <w:rFonts w:ascii="宋体" w:cs="宋体" w:hint="eastAsia"/>
          <w:bCs/>
        </w:rPr>
        <w:t>13.1 按合同规定应该偿付的违约金、赔偿金和各种经济损失，应当在明确责任后</w:t>
      </w:r>
      <w:r>
        <w:rPr>
          <w:rFonts w:ascii="宋体" w:cs="宋体" w:hint="eastAsia"/>
          <w:bCs/>
          <w:u w:val="single"/>
        </w:rPr>
        <w:t xml:space="preserve">14 </w:t>
      </w:r>
      <w:r>
        <w:rPr>
          <w:rFonts w:ascii="宋体" w:cs="宋体" w:hint="eastAsia"/>
          <w:bCs/>
        </w:rPr>
        <w:t>日内付清，逾期按应支付金额的日万分之</w:t>
      </w:r>
      <w:r>
        <w:rPr>
          <w:rFonts w:ascii="宋体" w:cs="宋体" w:hint="eastAsia"/>
          <w:bCs/>
          <w:u w:val="single"/>
        </w:rPr>
        <w:t xml:space="preserve"> 5 </w:t>
      </w:r>
      <w:r>
        <w:rPr>
          <w:rFonts w:ascii="宋体" w:cs="宋体" w:hint="eastAsia"/>
          <w:bCs/>
        </w:rPr>
        <w:t>计收利息。依据本合同乙方应向甲方支付前述款项的，甲方有权自行从应付合同总价款中扣除充抵。</w:t>
      </w:r>
    </w:p>
    <w:p>
      <w:pPr>
        <w:pStyle w:val="1510"/>
        <w:ind w:left="17" w:firstLine="388" w:leftChars="8" w:firstLineChars="185"/>
        <w:rPr>
          <w:rFonts w:ascii="宋体" w:cs="宋体"/>
        </w:rPr>
      </w:pPr>
      <w:r>
        <w:rPr>
          <w:rFonts w:ascii="宋体" w:cs="宋体" w:hint="eastAsia"/>
        </w:rPr>
        <w:t>13.2 在本合同履行期间及履行完毕的任何时候，如未经对方同意，任何一方不得以任何形式公开本合同及附件内容，以确保双方的商业机密。</w:t>
      </w:r>
    </w:p>
    <w:p>
      <w:pPr>
        <w:pStyle w:val="1510"/>
        <w:ind w:left="17" w:firstLine="388" w:leftChars="8" w:firstLineChars="185"/>
        <w:rPr>
          <w:rFonts w:ascii="宋体" w:cs="宋体"/>
        </w:rPr>
      </w:pPr>
      <w:r>
        <w:rPr>
          <w:rFonts w:ascii="宋体" w:cs="宋体" w:hint="eastAsia"/>
        </w:rPr>
        <w:t>13.3 合同执行期内，甲乙双方均不得随意变更或解除合同。未尽事宜，由双方共同协商达成补充协议解决。补充协议与本合同不一致的，以补充协议为准。</w:t>
      </w:r>
    </w:p>
    <w:p>
      <w:pPr>
        <w:pStyle w:val="1510"/>
        <w:ind w:left="269" w:firstLine="178" w:leftChars="128" w:firstLineChars="85"/>
        <w:rPr>
          <w:rFonts w:ascii="宋体" w:cs="宋体"/>
        </w:rPr>
      </w:pPr>
      <w:r>
        <w:rPr>
          <w:rFonts w:ascii="宋体" w:cs="宋体" w:hint="eastAsia"/>
        </w:rPr>
        <w:t>13.4 若由于乙方原因造成甲方或委托方信息系统损坏，乙方应赔偿甲方或委托方的全部损失。</w:t>
      </w:r>
    </w:p>
    <w:p>
      <w:pPr>
        <w:pStyle w:val="1510"/>
        <w:numPr>
          <w:ilvl w:val="0"/>
          <w:numId w:val="4"/>
        </w:numPr>
        <w:tabs>
          <w:tab w:val="clear" w:pos="0"/>
        </w:tabs>
        <w:adjustRightInd w:val="0"/>
        <w:ind w:left="17" w:firstLine="388" w:leftChars="8" w:firstLineChars="185"/>
        <w:jc w:val="left"/>
        <w:textAlignment w:val="baseline"/>
        <w:outlineLvl w:val="1"/>
        <w:rPr>
          <w:rFonts w:ascii="宋体" w:cs="宋体"/>
          <w:b/>
        </w:rPr>
      </w:pPr>
      <w:r>
        <w:rPr>
          <w:rFonts w:ascii="宋体" w:cs="宋体" w:hint="eastAsia"/>
          <w:b/>
        </w:rPr>
        <w:t xml:space="preserve">附件 </w:t>
      </w:r>
    </w:p>
    <w:p>
      <w:pPr>
        <w:pStyle w:val="BodyText"/>
        <w:ind w:firstLine="433"/>
        <w:rPr>
          <w:rFonts w:ascii="宋体" w:eastAsia="宋体" w:cs="宋体"/>
          <w:b w:val="0"/>
          <w:bCs w:val="0"/>
          <w:color w:val="000000"/>
          <w:sz w:val="21"/>
        </w:rPr>
      </w:pPr>
      <w:r>
        <w:rPr>
          <w:rFonts w:ascii="宋体" w:eastAsia="宋体" w:cs="宋体" w:hint="eastAsia"/>
          <w:b w:val="0"/>
          <w:bCs w:val="0"/>
          <w:color w:val="000000"/>
          <w:sz w:val="21"/>
        </w:rPr>
        <w:t>附件</w:t>
      </w:r>
      <w:r>
        <w:rPr>
          <w:rFonts w:ascii="宋体" w:eastAsia="宋体" w:cs="宋体"/>
          <w:b w:val="0"/>
          <w:bCs w:val="0"/>
          <w:color w:val="000000"/>
          <w:sz w:val="21"/>
        </w:rPr>
        <w:t>一</w:t>
      </w:r>
      <w:r>
        <w:rPr>
          <w:rFonts w:ascii="宋体" w:eastAsia="宋体" w:cs="宋体" w:hint="eastAsia"/>
          <w:b w:val="0"/>
          <w:bCs w:val="0"/>
          <w:color w:val="000000"/>
          <w:sz w:val="21"/>
        </w:rPr>
        <w:t>：保密协议</w:t>
      </w:r>
    </w:p>
    <w:p>
      <w:pPr>
        <w:pStyle w:val="BodyText"/>
        <w:ind w:firstLine="433"/>
        <w:rPr>
          <w:rFonts w:ascii="宋体" w:eastAsia="宋体" w:cs="宋体"/>
          <w:b w:val="0"/>
          <w:bCs w:val="0"/>
          <w:color w:val="000000"/>
          <w:sz w:val="21"/>
        </w:rPr>
      </w:pPr>
      <w:r>
        <w:rPr>
          <w:rFonts w:ascii="宋体" w:eastAsia="宋体" w:cs="宋体" w:hint="eastAsia"/>
          <w:b w:val="0"/>
          <w:bCs w:val="0"/>
          <w:color w:val="000000"/>
          <w:sz w:val="21"/>
        </w:rPr>
        <w:t>附件</w:t>
      </w:r>
      <w:r>
        <w:rPr>
          <w:rFonts w:ascii="宋体" w:eastAsia="宋体" w:cs="宋体"/>
          <w:b w:val="0"/>
          <w:bCs w:val="0"/>
          <w:color w:val="000000"/>
          <w:sz w:val="21"/>
        </w:rPr>
        <w:t>二</w:t>
      </w:r>
      <w:r>
        <w:rPr>
          <w:rFonts w:ascii="宋体" w:eastAsia="宋体" w:cs="宋体" w:hint="eastAsia"/>
          <w:b w:val="0"/>
          <w:bCs w:val="0"/>
          <w:color w:val="000000"/>
          <w:sz w:val="21"/>
        </w:rPr>
        <w:t>：</w:t>
      </w:r>
      <w:r>
        <w:rPr>
          <w:rFonts w:ascii="宋体" w:eastAsia="宋体" w:cs="宋体"/>
          <w:b w:val="0"/>
          <w:bCs w:val="0"/>
          <w:color w:val="000000"/>
          <w:sz w:val="21"/>
        </w:rPr>
        <w:t>供应商廉洁承诺书</w:t>
      </w:r>
    </w:p>
    <w:p>
      <w:pPr>
        <w:pStyle w:val="BodyText"/>
        <w:ind w:firstLine="433"/>
        <w:rPr>
          <w:rFonts w:ascii="宋体" w:eastAsia="宋体" w:cs="宋体"/>
          <w:b w:val="0"/>
          <w:bCs w:val="0"/>
          <w:color w:val="000000"/>
          <w:sz w:val="21"/>
        </w:rPr>
      </w:pPr>
      <w:r>
        <w:rPr>
          <w:rFonts w:ascii="宋体" w:eastAsia="宋体" w:cs="宋体" w:hint="eastAsia"/>
          <w:b w:val="0"/>
          <w:bCs w:val="0"/>
          <w:color w:val="000000"/>
          <w:sz w:val="21"/>
        </w:rPr>
        <w:t>附件</w:t>
      </w:r>
      <w:r>
        <w:rPr>
          <w:rFonts w:ascii="宋体" w:eastAsia="宋体" w:cs="宋体"/>
          <w:b w:val="0"/>
          <w:bCs w:val="0"/>
          <w:color w:val="000000"/>
          <w:sz w:val="21"/>
        </w:rPr>
        <w:t>三</w:t>
      </w:r>
      <w:r>
        <w:rPr>
          <w:rFonts w:ascii="宋体" w:eastAsia="宋体" w:cs="宋体" w:hint="eastAsia"/>
          <w:b w:val="0"/>
          <w:bCs w:val="0"/>
          <w:color w:val="000000"/>
          <w:sz w:val="21"/>
        </w:rPr>
        <w:t>：</w:t>
      </w:r>
      <w:r>
        <w:rPr>
          <w:rFonts w:ascii="宋体" w:eastAsia="宋体" w:cs="宋体"/>
          <w:b w:val="0"/>
          <w:bCs w:val="0"/>
          <w:color w:val="000000"/>
          <w:sz w:val="21"/>
        </w:rPr>
        <w:t>项目人员服务承诺书</w:t>
      </w:r>
    </w:p>
    <w:p>
      <w:pPr>
        <w:pStyle w:val="BodyText"/>
        <w:ind w:firstLine="433"/>
        <w:rPr>
          <w:rFonts w:ascii="宋体" w:eastAsia="宋体" w:cs="宋体"/>
          <w:b w:val="0"/>
          <w:bCs w:val="0"/>
          <w:color w:val="000000"/>
          <w:sz w:val="21"/>
        </w:rPr>
      </w:pPr>
      <w:r>
        <w:rPr>
          <w:rFonts w:ascii="宋体" w:eastAsia="宋体" w:cs="宋体" w:hint="eastAsia"/>
          <w:b w:val="0"/>
          <w:bCs w:val="0"/>
          <w:color w:val="000000"/>
          <w:sz w:val="21"/>
        </w:rPr>
        <w:t>附件</w:t>
      </w:r>
      <w:r>
        <w:rPr>
          <w:rFonts w:ascii="宋体" w:eastAsia="宋体" w:cs="宋体"/>
          <w:b w:val="0"/>
          <w:bCs w:val="0"/>
          <w:color w:val="000000"/>
          <w:sz w:val="21"/>
        </w:rPr>
        <w:t>四</w:t>
      </w:r>
      <w:r>
        <w:rPr>
          <w:rFonts w:ascii="宋体" w:eastAsia="宋体" w:cs="宋体" w:hint="eastAsia"/>
          <w:b w:val="0"/>
          <w:bCs w:val="0"/>
          <w:color w:val="000000"/>
          <w:sz w:val="21"/>
        </w:rPr>
        <w:t>：</w:t>
      </w:r>
      <w:r>
        <w:rPr>
          <w:rFonts w:ascii="宋体" w:eastAsia="宋体" w:cs="宋体"/>
          <w:b w:val="0"/>
          <w:bCs w:val="0"/>
          <w:color w:val="000000"/>
          <w:sz w:val="21"/>
        </w:rPr>
        <w:t>海关信息系统用户网络安全承诺书</w:t>
      </w:r>
    </w:p>
    <w:p>
      <w:pPr>
        <w:pStyle w:val="1610"/>
        <w:widowControl/>
        <w:ind w:firstLine="420" w:firstLineChars="200"/>
        <w:jc w:val="left"/>
        <w:rPr>
          <w:rFonts w:ascii="Times New Roman Regular" w:hAnsi="Times New Roman Regular" w:cs="Times New Roman Regular"/>
          <w:color w:val="000000"/>
        </w:rPr>
      </w:pPr>
    </w:p>
    <w:p>
      <w:pPr>
        <w:pStyle w:val="1510"/>
        <w:ind w:left="269" w:firstLine="178" w:leftChars="128" w:firstLineChars="85"/>
        <w:rPr>
          <w:rFonts w:ascii="宋体" w:cs="宋体"/>
        </w:rPr>
      </w:pPr>
    </w:p>
    <w:tbl>
      <w:tblPr>
        <w:tblW w:w="9285" w:type="dxa"/>
        <w:jc w:val="left"/>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643"/>
        <w:gridCol w:w="4642"/>
      </w:tblGrid>
      <w:tr>
        <w:tblPrEx>
          <w:tblW w:w="9285" w:type="dxa"/>
          <w:jc w:val="left"/>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jc w:val="left"/>
        </w:trPr>
        <w:tc>
          <w:tcPr>
            <w:tcW w:w="4644" w:type="dxa"/>
            <w:tcBorders>
              <w:tl2br w:val="nil"/>
              <w:tr2bl w:val="nil"/>
            </w:tcBorders>
          </w:tcPr>
          <w:p>
            <w:pPr>
              <w:pStyle w:val="1510"/>
              <w:ind w:firstLine="420" w:firstLineChars="200"/>
              <w:rPr>
                <w:rFonts w:ascii="宋体"/>
              </w:rPr>
            </w:pPr>
            <w:r>
              <w:rPr>
                <w:rFonts w:ascii="宋体" w:cs="宋体" w:hint="eastAsia"/>
              </w:rPr>
              <w:t>甲方：</w:t>
            </w:r>
            <w:r>
              <w:rPr>
                <w:rFonts w:ascii="宋体" w:hint="eastAsia"/>
              </w:rPr>
              <w:t xml:space="preserve"> </w:t>
            </w:r>
          </w:p>
          <w:p>
            <w:pPr>
              <w:pStyle w:val="1510"/>
              <w:ind w:firstLine="420" w:firstLineChars="200"/>
              <w:rPr>
                <w:rFonts w:ascii="宋体" w:cs="宋体"/>
              </w:rPr>
            </w:pPr>
          </w:p>
        </w:tc>
        <w:tc>
          <w:tcPr>
            <w:tcW w:w="4643" w:type="dxa"/>
            <w:tcBorders>
              <w:tl2br w:val="nil"/>
              <w:tr2bl w:val="nil"/>
            </w:tcBorders>
          </w:tcPr>
          <w:p>
            <w:pPr>
              <w:pStyle w:val="1510"/>
              <w:ind w:firstLine="420" w:firstLineChars="200"/>
              <w:rPr>
                <w:rFonts w:ascii="宋体" w:cs="宋体"/>
              </w:rPr>
            </w:pPr>
            <w:r>
              <w:rPr>
                <w:rFonts w:ascii="宋体" w:cs="宋体" w:hint="eastAsia"/>
              </w:rPr>
              <w:t xml:space="preserve">乙方： </w:t>
            </w:r>
          </w:p>
        </w:tc>
      </w:tr>
      <w:tr>
        <w:tblPrEx>
          <w:tblW w:w="9285" w:type="dxa"/>
          <w:jc w:val="left"/>
          <w:tblLayout w:type="fixed"/>
          <w:tblCellMar>
            <w:top w:w="0" w:type="dxa"/>
            <w:left w:w="108" w:type="dxa"/>
            <w:bottom w:w="0" w:type="dxa"/>
            <w:right w:w="108" w:type="dxa"/>
          </w:tblCellMar>
        </w:tblPrEx>
        <w:trPr>
          <w:trHeight w:val="738"/>
          <w:jc w:val="left"/>
        </w:trPr>
        <w:tc>
          <w:tcPr>
            <w:tcW w:w="4644" w:type="dxa"/>
            <w:tcBorders>
              <w:tl2br w:val="nil"/>
              <w:tr2bl w:val="nil"/>
            </w:tcBorders>
          </w:tcPr>
          <w:p>
            <w:pPr>
              <w:pStyle w:val="1510"/>
              <w:ind w:firstLine="420" w:firstLineChars="200"/>
              <w:rPr>
                <w:rFonts w:ascii="宋体" w:cs="宋体"/>
              </w:rPr>
            </w:pPr>
            <w:r>
              <w:rPr>
                <w:rFonts w:ascii="宋体" w:cs="宋体" w:hint="eastAsia"/>
              </w:rPr>
              <w:t>甲方法定代表人或授权签字人</w:t>
            </w:r>
          </w:p>
          <w:p>
            <w:pPr>
              <w:pStyle w:val="1510"/>
              <w:ind w:firstLine="420" w:firstLineChars="200"/>
              <w:rPr>
                <w:rFonts w:ascii="宋体" w:cs="宋体"/>
              </w:rPr>
            </w:pPr>
            <w:r>
              <w:rPr>
                <w:rFonts w:ascii="宋体" w:cs="宋体" w:hint="eastAsia"/>
              </w:rPr>
              <w:t>（签字）：</w:t>
            </w:r>
          </w:p>
          <w:p>
            <w:pPr>
              <w:pStyle w:val="1510"/>
              <w:ind w:firstLine="420" w:firstLineChars="200"/>
              <w:rPr>
                <w:rFonts w:ascii="宋体" w:cs="宋体"/>
              </w:rPr>
            </w:pPr>
          </w:p>
        </w:tc>
        <w:tc>
          <w:tcPr>
            <w:tcW w:w="4643" w:type="dxa"/>
            <w:tcBorders>
              <w:tl2br w:val="nil"/>
              <w:tr2bl w:val="nil"/>
            </w:tcBorders>
          </w:tcPr>
          <w:p>
            <w:pPr>
              <w:pStyle w:val="1510"/>
              <w:ind w:firstLine="420" w:firstLineChars="200"/>
              <w:rPr>
                <w:rFonts w:ascii="宋体" w:cs="宋体"/>
              </w:rPr>
            </w:pPr>
            <w:r>
              <w:rPr>
                <w:rFonts w:ascii="宋体" w:cs="宋体" w:hint="eastAsia"/>
              </w:rPr>
              <w:t>乙方法定代表人或授权签字人</w:t>
            </w:r>
          </w:p>
          <w:p>
            <w:pPr>
              <w:pStyle w:val="1510"/>
              <w:ind w:firstLine="420" w:firstLineChars="200"/>
              <w:rPr>
                <w:rFonts w:ascii="宋体" w:cs="宋体"/>
              </w:rPr>
            </w:pPr>
            <w:r>
              <w:rPr>
                <w:rFonts w:ascii="宋体" w:cs="宋体" w:hint="eastAsia"/>
              </w:rPr>
              <w:t>（签字）：</w:t>
            </w:r>
          </w:p>
        </w:tc>
      </w:tr>
      <w:tr>
        <w:tblPrEx>
          <w:tblW w:w="9285" w:type="dxa"/>
          <w:jc w:val="left"/>
          <w:tblLayout w:type="fixed"/>
          <w:tblCellMar>
            <w:top w:w="0" w:type="dxa"/>
            <w:left w:w="108" w:type="dxa"/>
            <w:bottom w:w="0" w:type="dxa"/>
            <w:right w:w="108" w:type="dxa"/>
          </w:tblCellMar>
        </w:tblPrEx>
        <w:trPr>
          <w:trHeight w:val="564"/>
          <w:jc w:val="left"/>
        </w:trPr>
        <w:tc>
          <w:tcPr>
            <w:tcW w:w="4644" w:type="dxa"/>
            <w:tcBorders>
              <w:tl2br w:val="nil"/>
              <w:tr2bl w:val="nil"/>
            </w:tcBorders>
          </w:tcPr>
          <w:p>
            <w:pPr>
              <w:pStyle w:val="1510"/>
              <w:ind w:firstLine="420" w:firstLineChars="200"/>
              <w:rPr>
                <w:rFonts w:ascii="宋体" w:cs="宋体"/>
              </w:rPr>
            </w:pPr>
          </w:p>
          <w:p>
            <w:pPr>
              <w:pStyle w:val="1510"/>
              <w:ind w:firstLine="420" w:firstLineChars="200"/>
              <w:rPr>
                <w:rFonts w:ascii="宋体" w:cs="宋体"/>
              </w:rPr>
            </w:pPr>
            <w:r>
              <w:rPr>
                <w:rFonts w:ascii="宋体" w:cs="宋体" w:hint="eastAsia"/>
              </w:rPr>
              <w:t>甲方（盖章）</w:t>
            </w:r>
          </w:p>
          <w:p>
            <w:pPr>
              <w:pStyle w:val="1510"/>
              <w:ind w:firstLine="420" w:firstLineChars="200"/>
              <w:rPr>
                <w:rFonts w:ascii="宋体" w:cs="宋体"/>
              </w:rPr>
            </w:pPr>
          </w:p>
          <w:p>
            <w:pPr>
              <w:pStyle w:val="1510"/>
              <w:ind w:firstLine="420" w:firstLineChars="200"/>
              <w:rPr>
                <w:rFonts w:ascii="宋体" w:cs="宋体"/>
              </w:rPr>
            </w:pPr>
          </w:p>
        </w:tc>
        <w:tc>
          <w:tcPr>
            <w:tcW w:w="4643" w:type="dxa"/>
            <w:tcBorders>
              <w:tl2br w:val="nil"/>
              <w:tr2bl w:val="nil"/>
            </w:tcBorders>
          </w:tcPr>
          <w:p>
            <w:pPr>
              <w:pStyle w:val="1510"/>
              <w:ind w:firstLine="420" w:firstLineChars="200"/>
              <w:rPr>
                <w:rFonts w:ascii="宋体" w:cs="宋体"/>
              </w:rPr>
            </w:pPr>
          </w:p>
          <w:p>
            <w:pPr>
              <w:pStyle w:val="1510"/>
              <w:ind w:firstLine="420" w:firstLineChars="200"/>
              <w:rPr>
                <w:rFonts w:ascii="宋体" w:cs="宋体"/>
              </w:rPr>
            </w:pPr>
            <w:r>
              <w:rPr>
                <w:rFonts w:ascii="宋体" w:cs="宋体" w:hint="eastAsia"/>
              </w:rPr>
              <w:t>乙方（盖章）：</w:t>
            </w:r>
          </w:p>
        </w:tc>
      </w:tr>
      <w:tr>
        <w:tblPrEx>
          <w:tblW w:w="9285" w:type="dxa"/>
          <w:jc w:val="left"/>
          <w:tblLayout w:type="fixed"/>
          <w:tblCellMar>
            <w:top w:w="0" w:type="dxa"/>
            <w:left w:w="108" w:type="dxa"/>
            <w:bottom w:w="0" w:type="dxa"/>
            <w:right w:w="108" w:type="dxa"/>
          </w:tblCellMar>
        </w:tblPrEx>
        <w:trPr>
          <w:jc w:val="left"/>
        </w:trPr>
        <w:tc>
          <w:tcPr>
            <w:tcW w:w="4644" w:type="dxa"/>
            <w:tcBorders>
              <w:tl2br w:val="nil"/>
              <w:tr2bl w:val="nil"/>
            </w:tcBorders>
          </w:tcPr>
          <w:p>
            <w:pPr>
              <w:pStyle w:val="1510"/>
              <w:ind w:firstLine="420" w:firstLineChars="200"/>
              <w:rPr>
                <w:rFonts w:ascii="宋体" w:cs="宋体"/>
              </w:rPr>
            </w:pPr>
            <w:r>
              <w:rPr>
                <w:rFonts w:ascii="宋体" w:cs="宋体" w:hint="eastAsia"/>
              </w:rPr>
              <w:t>日期：    年   月    日</w:t>
            </w:r>
          </w:p>
        </w:tc>
        <w:tc>
          <w:tcPr>
            <w:tcW w:w="4643" w:type="dxa"/>
            <w:tcBorders>
              <w:tl2br w:val="nil"/>
              <w:tr2bl w:val="nil"/>
            </w:tcBorders>
          </w:tcPr>
          <w:p>
            <w:pPr>
              <w:pStyle w:val="1510"/>
              <w:ind w:firstLine="420" w:firstLineChars="200"/>
              <w:rPr>
                <w:rFonts w:ascii="宋体" w:cs="宋体"/>
              </w:rPr>
            </w:pPr>
            <w:r>
              <w:rPr>
                <w:rFonts w:ascii="宋体" w:cs="宋体" w:hint="eastAsia"/>
              </w:rPr>
              <w:t>日期：    年   月   日</w:t>
            </w:r>
          </w:p>
        </w:tc>
        <w:bookmarkEnd w:id="34"/>
      </w:tr>
    </w:tbl>
    <w:p/>
    <w:p/>
    <w:p/>
    <w:p/>
    <w:p>
      <w:pPr>
        <w:pStyle w:val="1710"/>
        <w:spacing w:line="560" w:lineRule="exact"/>
        <w:ind w:firstLine="420" w:firstLineChars="200"/>
        <w:rPr>
          <w:rFonts w:ascii="宋体" w:eastAsia="宋体" w:cs="宋体"/>
        </w:rPr>
      </w:pPr>
      <w:r>
        <w:rPr>
          <w:rFonts w:ascii="宋体" w:eastAsia="宋体" w:cs="宋体"/>
        </w:rPr>
        <w:br w:type="page"/>
      </w:r>
      <w:r>
        <w:rPr>
          <w:rFonts w:ascii="黑体" w:eastAsia="黑体" w:cs="黑体" w:hint="eastAsia"/>
          <w:color w:val="000000"/>
          <w:sz w:val="32"/>
          <w:szCs w:val="32"/>
        </w:rPr>
        <w:t>附件1</w:t>
      </w:r>
    </w:p>
    <w:p>
      <w:pPr>
        <w:pStyle w:val="a0"/>
        <w:spacing w:before="81" w:line="218" w:lineRule="auto"/>
        <w:jc w:val="center"/>
        <w:rPr>
          <w:rFonts w:ascii="方正小标宋_GBK" w:eastAsia="方正小标宋_GBK" w:cs="方正小标宋_GBK"/>
          <w:spacing w:val="-11"/>
          <w:sz w:val="44"/>
          <w:szCs w:val="44"/>
        </w:rPr>
      </w:pPr>
      <w:r>
        <w:rPr>
          <w:rFonts w:ascii="方正小标宋_GBK" w:eastAsia="方正小标宋_GBK" w:cs="方正小标宋_GBK"/>
          <w:spacing w:val="-11"/>
          <w:sz w:val="40"/>
          <w:szCs w:val="40"/>
        </w:rPr>
        <w:t>保密协议</w:t>
      </w:r>
    </w:p>
    <w:p>
      <w:pPr>
        <w:pStyle w:val="310"/>
        <w:spacing w:line="560" w:lineRule="exact"/>
        <w:ind w:firstLine="420" w:firstLineChars="200"/>
        <w:rPr>
          <w:rFonts w:ascii="宋体" w:cs="宋体"/>
          <w:szCs w:val="21"/>
        </w:rPr>
      </w:pPr>
      <w:r>
        <w:rPr>
          <w:rFonts w:ascii="宋体" w:cs="宋体" w:hint="eastAsia"/>
          <w:szCs w:val="21"/>
        </w:rPr>
        <w:t>甲方∶中国电子口岸数据中心深圳分中心</w:t>
      </w:r>
    </w:p>
    <w:p>
      <w:pPr>
        <w:pStyle w:val="310"/>
        <w:spacing w:line="560" w:lineRule="exact"/>
        <w:ind w:firstLine="420" w:firstLineChars="200"/>
        <w:rPr>
          <w:rFonts w:ascii="宋体" w:cs="宋体"/>
          <w:szCs w:val="21"/>
        </w:rPr>
      </w:pPr>
      <w:r>
        <w:rPr>
          <w:rFonts w:ascii="宋体" w:cs="宋体" w:hint="eastAsia"/>
          <w:szCs w:val="21"/>
        </w:rPr>
        <w:t xml:space="preserve">乙方∶                            </w:t>
      </w:r>
    </w:p>
    <w:p>
      <w:pPr>
        <w:pStyle w:val="310"/>
        <w:spacing w:line="560" w:lineRule="exact"/>
        <w:ind w:firstLine="420" w:firstLineChars="200"/>
        <w:rPr>
          <w:rFonts w:ascii="宋体" w:cs="宋体"/>
          <w:szCs w:val="21"/>
        </w:rPr>
      </w:pPr>
    </w:p>
    <w:p>
      <w:pPr>
        <w:pStyle w:val="310"/>
        <w:spacing w:line="560" w:lineRule="exact"/>
        <w:ind w:firstLine="420" w:firstLineChars="200"/>
        <w:rPr>
          <w:rFonts w:ascii="宋体" w:cs="宋体"/>
          <w:szCs w:val="21"/>
        </w:rPr>
      </w:pPr>
      <w:r>
        <w:rPr>
          <w:rFonts w:ascii="宋体" w:cs="宋体" w:hint="eastAsia"/>
          <w:szCs w:val="21"/>
        </w:rPr>
        <w:t>乙方在向甲方提供信息系统服务（包括但不限于项目、设备、软件开发、咨询、调试、维护、更换软硬件）前，均需签订本协议。规范甲乙双方在合作过程中的行为，双方就甲方委托乙方信息系统服务事宜，经友好协商，甲乙双方签订如下保密协议∶</w:t>
      </w:r>
    </w:p>
    <w:p>
      <w:pPr>
        <w:pStyle w:val="310"/>
        <w:spacing w:line="560" w:lineRule="exact"/>
        <w:ind w:firstLine="420" w:firstLineChars="200"/>
        <w:rPr>
          <w:rFonts w:ascii="宋体" w:cs="宋体"/>
          <w:szCs w:val="21"/>
        </w:rPr>
      </w:pPr>
      <w:r>
        <w:rPr>
          <w:rFonts w:ascii="宋体" w:cs="宋体" w:hint="eastAsia"/>
          <w:szCs w:val="21"/>
        </w:rPr>
        <w:t>第一条 本协议所述及的"信息"，系指甲方信息系统软硬件上的所有资料以及海关内部资料、通关数据、报关单数据、进出口企业数据等海关运营数据，包括由甲方外延到全国海关的信息系统的数据、资料，无论是书面的、口头的、图形的或其它任何形式的海关未公开发布过的信息。</w:t>
      </w:r>
    </w:p>
    <w:p>
      <w:pPr>
        <w:pStyle w:val="310"/>
        <w:spacing w:line="560" w:lineRule="exact"/>
        <w:ind w:firstLine="420" w:firstLineChars="200"/>
        <w:rPr>
          <w:rFonts w:ascii="宋体" w:cs="宋体"/>
          <w:szCs w:val="21"/>
        </w:rPr>
      </w:pPr>
      <w:r>
        <w:rPr>
          <w:rFonts w:ascii="宋体" w:cs="宋体" w:hint="eastAsia"/>
          <w:szCs w:val="21"/>
        </w:rPr>
        <w:t>第二条 由甲方收集、整理、复制的和准备的与信息系统服务有关的所有资料在提供给乙方时，均被视为保密的，不得泄露给除甲方或其指定的代表之外的任何人、企业或公司，不管项目因何种原因终止，本条款一直约束乙方。</w:t>
      </w:r>
    </w:p>
    <w:p>
      <w:pPr>
        <w:pStyle w:val="310"/>
        <w:spacing w:line="560" w:lineRule="exact"/>
        <w:ind w:firstLine="420" w:firstLineChars="200"/>
        <w:rPr>
          <w:rFonts w:ascii="宋体" w:cs="宋体"/>
          <w:szCs w:val="21"/>
        </w:rPr>
      </w:pPr>
      <w:r>
        <w:rPr>
          <w:rFonts w:ascii="宋体" w:cs="宋体" w:hint="eastAsia"/>
          <w:szCs w:val="21"/>
        </w:rPr>
        <w:t>第三条 乙方应当采取谨慎合理的保护措施来防止非授权披露、使用、复制甲方的信息、原始数据或者其衍生成果。乙方不得在互联网或局域网等计算机网络系统中存储、处理、传递涉密信息。</w:t>
      </w:r>
    </w:p>
    <w:p>
      <w:pPr>
        <w:pStyle w:val="310"/>
        <w:spacing w:line="560" w:lineRule="exact"/>
        <w:ind w:firstLine="420" w:firstLineChars="200"/>
        <w:rPr>
          <w:rFonts w:ascii="宋体" w:cs="宋体"/>
          <w:szCs w:val="21"/>
        </w:rPr>
      </w:pPr>
      <w:r>
        <w:rPr>
          <w:rFonts w:ascii="宋体" w:cs="宋体" w:hint="eastAsia"/>
          <w:szCs w:val="21"/>
        </w:rPr>
        <w:t>第四条 乙方不得在实施的设备上留下任何后门、木马、监听等可能对甲方的计算机信息安全、网络资产造成威胁的程序;不得泄漏任何甲方信息给任何第三方;除用于履行与对方的合同之外，任何时候均不得利用任何甲方信息。</w:t>
      </w:r>
    </w:p>
    <w:p>
      <w:pPr>
        <w:pStyle w:val="310"/>
        <w:spacing w:line="560" w:lineRule="exact"/>
        <w:ind w:firstLine="420" w:firstLineChars="200"/>
        <w:rPr>
          <w:rFonts w:ascii="宋体" w:cs="宋体"/>
          <w:szCs w:val="21"/>
        </w:rPr>
      </w:pPr>
      <w:r>
        <w:rPr>
          <w:rFonts w:ascii="宋体" w:cs="宋体" w:hint="eastAsia"/>
          <w:szCs w:val="21"/>
        </w:rPr>
        <w:t>第五条 乙方进入甲方的信息系统进行维护，需经甲方书面同意和陪同。未经甲方书面许可，乙方不得从甲方信息系统中截取任何信息。</w:t>
      </w:r>
    </w:p>
    <w:p>
      <w:pPr>
        <w:pStyle w:val="310"/>
        <w:spacing w:line="560" w:lineRule="exact"/>
        <w:ind w:firstLine="420" w:firstLineChars="200"/>
        <w:rPr>
          <w:rFonts w:ascii="宋体" w:cs="宋体"/>
          <w:szCs w:val="21"/>
        </w:rPr>
      </w:pPr>
      <w:r>
        <w:rPr>
          <w:rFonts w:ascii="宋体" w:cs="宋体" w:hint="eastAsia"/>
          <w:szCs w:val="21"/>
        </w:rPr>
        <w:t>第六条 乙方实施信息系统服务应符合国家安全、保密的有关规定和标准，要采取有效的保密措施严防泄露本协议内与甲方发生的业务往来中有关信息。</w:t>
      </w:r>
    </w:p>
    <w:p>
      <w:pPr>
        <w:pStyle w:val="310"/>
        <w:spacing w:line="560" w:lineRule="exact"/>
        <w:ind w:firstLine="420" w:firstLineChars="200"/>
        <w:rPr>
          <w:rFonts w:ascii="宋体" w:cs="宋体"/>
          <w:szCs w:val="21"/>
        </w:rPr>
      </w:pPr>
      <w:r>
        <w:rPr>
          <w:rFonts w:ascii="宋体" w:cs="宋体" w:hint="eastAsia"/>
          <w:szCs w:val="21"/>
        </w:rPr>
        <w:t>第七条 乙方只能向乙方确有必要知道信息的雇员披露海关信息和资料。乙方应确保乙方知悉信息的所有雇员遵守本协议的规定，并与其签署包括但不限于本协议内容一致的保密协议。若乙方在职或已辞职雇员违反本协议规定则乙方应承担主要责任。</w:t>
      </w:r>
    </w:p>
    <w:p>
      <w:pPr>
        <w:pStyle w:val="310"/>
        <w:spacing w:line="560" w:lineRule="exact"/>
        <w:ind w:firstLine="420" w:firstLineChars="200"/>
        <w:rPr>
          <w:rFonts w:ascii="宋体" w:cs="宋体"/>
          <w:szCs w:val="21"/>
        </w:rPr>
      </w:pPr>
      <w:r>
        <w:rPr>
          <w:rFonts w:ascii="宋体" w:cs="宋体" w:hint="eastAsia"/>
          <w:szCs w:val="21"/>
        </w:rPr>
        <w:t>第八条 未经甲方书面许可，乙方不得向其子公司、控股公司、分支机构、承包商、转包商、代理商、合伙人、客户及其他第三方披露任何甲方的信息、乙方在履行项目过程中所获得或接触到的任何内部数据资料。只有在乙方能向甲方证明需要获得信息、内部数据资料的第三方以书面形式承诺遵守本协议的所有条款时，甲方才能向乙方授予此类许可。乙方在取得甲方书面许可之后使第三方知悉甲方的信息、内部数据资料，则乙方与该第三方将各自同时对本协议所有条款向甲方承担连带责任。</w:t>
      </w:r>
    </w:p>
    <w:p>
      <w:pPr>
        <w:pStyle w:val="310"/>
        <w:spacing w:line="560" w:lineRule="exact"/>
        <w:ind w:firstLine="420" w:firstLineChars="200"/>
        <w:rPr>
          <w:rFonts w:ascii="宋体" w:cs="宋体"/>
          <w:szCs w:val="21"/>
        </w:rPr>
      </w:pPr>
      <w:r>
        <w:rPr>
          <w:rFonts w:ascii="宋体" w:cs="宋体" w:hint="eastAsia"/>
          <w:szCs w:val="21"/>
        </w:rPr>
        <w:t>第九条 任何时候，只要收到甲方的书面要求，乙方应立即归还全部项目资料和文件，包括资料的媒体及其任何或全部复印或摘要。若该资料属于不能归还的形式、或已经复制或转录到其他资料或转体中，应当删除。</w:t>
      </w:r>
    </w:p>
    <w:p>
      <w:pPr>
        <w:pStyle w:val="310"/>
        <w:spacing w:line="560" w:lineRule="exact"/>
        <w:ind w:firstLine="420" w:firstLineChars="200"/>
        <w:rPr>
          <w:rFonts w:ascii="宋体" w:cs="宋体"/>
          <w:szCs w:val="21"/>
        </w:rPr>
      </w:pPr>
      <w:r>
        <w:rPr>
          <w:rFonts w:ascii="宋体" w:cs="宋体" w:hint="eastAsia"/>
          <w:szCs w:val="21"/>
        </w:rPr>
        <w:t>第十条 如果依据法院判决、行政机构或其他政府机构的命令或要求，乙方必须披露甲方信息的，乙方应立即将此事通知甲方，并妥善、及时采取各种保护性措施防止信息泄露。</w:t>
      </w:r>
    </w:p>
    <w:p>
      <w:pPr>
        <w:pStyle w:val="310"/>
        <w:spacing w:line="560" w:lineRule="exact"/>
        <w:ind w:firstLine="420" w:firstLineChars="200"/>
        <w:rPr>
          <w:rFonts w:ascii="宋体" w:cs="宋体"/>
          <w:szCs w:val="21"/>
        </w:rPr>
      </w:pPr>
      <w:r>
        <w:rPr>
          <w:rFonts w:ascii="宋体" w:cs="宋体" w:hint="eastAsia"/>
          <w:szCs w:val="21"/>
        </w:rPr>
        <w:t>第十一条 乙方发现有第三方非法获得和使用甲方的信息，应在采取必要措施的同时及时通知甲方，甲方将采取必要措施防止非法使用。</w:t>
      </w:r>
    </w:p>
    <w:p>
      <w:pPr>
        <w:pStyle w:val="310"/>
        <w:spacing w:line="560" w:lineRule="exact"/>
        <w:ind w:firstLine="420" w:firstLineChars="200"/>
        <w:rPr>
          <w:rFonts w:ascii="宋体" w:cs="宋体"/>
          <w:szCs w:val="21"/>
        </w:rPr>
      </w:pPr>
      <w:r>
        <w:rPr>
          <w:rFonts w:ascii="宋体" w:cs="宋体" w:hint="eastAsia"/>
          <w:szCs w:val="21"/>
        </w:rPr>
        <w:t>第十二条 乙方违约则应当赔偿对甲方造成的所有损失及可能产生的诉讼费用，并追究相应责任。</w:t>
      </w:r>
    </w:p>
    <w:p>
      <w:pPr>
        <w:pStyle w:val="310"/>
        <w:spacing w:line="560" w:lineRule="exact"/>
        <w:ind w:firstLine="420" w:firstLineChars="200"/>
        <w:rPr>
          <w:rFonts w:ascii="宋体" w:cs="宋体"/>
          <w:szCs w:val="21"/>
        </w:rPr>
      </w:pPr>
      <w:r>
        <w:rPr>
          <w:rFonts w:ascii="宋体" w:cs="宋体" w:hint="eastAsia"/>
          <w:szCs w:val="21"/>
        </w:rPr>
        <w:t>第十三条 本协议自合同签字盖章之日起生效。乙方在合同签字前同甲方发生的业务往来中有关信息的保密同样适用本协议。</w:t>
      </w:r>
    </w:p>
    <w:p>
      <w:pPr>
        <w:pStyle w:val="310"/>
        <w:spacing w:line="560" w:lineRule="exact"/>
        <w:ind w:firstLine="420" w:firstLineChars="200"/>
        <w:rPr>
          <w:rFonts w:ascii="宋体" w:cs="宋体"/>
          <w:szCs w:val="21"/>
        </w:rPr>
      </w:pPr>
      <w:r>
        <w:rPr>
          <w:rFonts w:ascii="宋体" w:cs="宋体" w:hint="eastAsia"/>
          <w:szCs w:val="21"/>
        </w:rPr>
        <w:t>第十四条 乙方同甲方业务的终止并不解除甲乙双方就约定的保密事项履行保密义务。协议当事人的变更，如公司的合并、分立、法定代表人的更换、乙方知悉信息的所有雇员的离职等情况，并不导致任何一方权利和义务的增加和删减。</w:t>
      </w:r>
    </w:p>
    <w:p>
      <w:pPr>
        <w:pStyle w:val="310"/>
        <w:spacing w:line="560" w:lineRule="exact"/>
        <w:ind w:firstLine="420" w:firstLineChars="200"/>
        <w:rPr>
          <w:rFonts w:ascii="宋体" w:cs="宋体"/>
          <w:szCs w:val="21"/>
        </w:rPr>
      </w:pPr>
      <w:r>
        <w:rPr>
          <w:rFonts w:ascii="宋体" w:cs="宋体" w:hint="eastAsia"/>
          <w:szCs w:val="21"/>
        </w:rPr>
        <w:t>第十五条 本协议签订后，乙方同甲方签订或执行的所有信息系统服务均按照此协议执行，如有需要，应另行签订补充协议。</w:t>
      </w:r>
    </w:p>
    <w:p>
      <w:pPr>
        <w:pStyle w:val="310"/>
        <w:spacing w:line="560" w:lineRule="exact"/>
        <w:ind w:firstLine="420" w:firstLineChars="200"/>
        <w:rPr>
          <w:rFonts w:ascii="宋体" w:cs="宋体"/>
          <w:szCs w:val="21"/>
        </w:rPr>
      </w:pPr>
      <w:r>
        <w:rPr>
          <w:rFonts w:ascii="宋体" w:cs="宋体" w:hint="eastAsia"/>
          <w:szCs w:val="21"/>
        </w:rPr>
        <w:t>第十六条 任何一方在任何时间任何期限里没有行使其本协议项下的权利，并不能解释为他已经放弃了该权利。若本协议的任何部分、条款或规定是不合法的或者是不可执行的，协议其他部分的有效性和可执行性仍不受影响。</w:t>
      </w:r>
    </w:p>
    <w:p>
      <w:pPr>
        <w:pStyle w:val="310"/>
        <w:spacing w:line="560" w:lineRule="exact"/>
        <w:ind w:firstLine="420" w:firstLineChars="200"/>
        <w:rPr>
          <w:rFonts w:ascii="宋体" w:cs="宋体"/>
          <w:szCs w:val="21"/>
        </w:rPr>
      </w:pPr>
      <w:r>
        <w:rPr>
          <w:rFonts w:ascii="宋体" w:cs="宋体" w:hint="eastAsia"/>
          <w:szCs w:val="21"/>
        </w:rPr>
        <w:t>第十七条 未经另一方同意，任何一方不得转让其在本协议项下的全部或任何部分权力。未经双方事先书面达成一致意见，本协议不得以任何其他理由而更改。除非本协议的任何意思表示或保证具有欺诈性，本协议业已包含了双方对和约事项的全部理解，它可取代此前的所有相关意思表示、书面材料、谈判或谅解。</w:t>
      </w:r>
    </w:p>
    <w:p>
      <w:pPr>
        <w:pStyle w:val="310"/>
        <w:spacing w:line="560" w:lineRule="exact"/>
        <w:ind w:firstLine="420" w:firstLineChars="200"/>
        <w:rPr>
          <w:rFonts w:ascii="宋体" w:cs="宋体"/>
          <w:szCs w:val="21"/>
        </w:rPr>
      </w:pPr>
      <w:r>
        <w:rPr>
          <w:rFonts w:ascii="宋体" w:cs="宋体" w:hint="eastAsia"/>
          <w:szCs w:val="21"/>
        </w:rPr>
        <w:t>第十八条 本协议受中国法律管辖并按照中国的法律进行解释。由于本协议的履行或解释而产生的或与之有关的任何争议，双方无法协商解决，应提交在甲方所在地有管辖权人民法院诉讼解决。</w:t>
      </w:r>
    </w:p>
    <w:p>
      <w:pPr>
        <w:pStyle w:val="310"/>
        <w:spacing w:line="560" w:lineRule="exact"/>
        <w:ind w:firstLine="420" w:firstLineChars="200"/>
        <w:rPr>
          <w:rFonts w:ascii="宋体" w:cs="宋体"/>
          <w:szCs w:val="21"/>
        </w:rPr>
      </w:pPr>
      <w:r>
        <w:rPr>
          <w:rFonts w:ascii="宋体" w:cs="宋体" w:hint="eastAsia"/>
          <w:szCs w:val="21"/>
        </w:rPr>
        <w:t>第十九条 本协议</w:t>
      </w:r>
      <w:r>
        <w:rPr>
          <w:rFonts w:ascii="宋体" w:cs="宋体"/>
          <w:szCs w:val="21"/>
        </w:rPr>
        <w:t>为合同的一部分</w:t>
      </w:r>
      <w:r>
        <w:rPr>
          <w:rFonts w:ascii="宋体" w:cs="宋体" w:hint="eastAsia"/>
          <w:szCs w:val="21"/>
        </w:rPr>
        <w:t>。</w:t>
      </w:r>
    </w:p>
    <w:p>
      <w:pPr>
        <w:pStyle w:val="310"/>
        <w:spacing w:line="560" w:lineRule="exact"/>
        <w:ind w:firstLine="420" w:firstLineChars="200"/>
        <w:rPr>
          <w:rFonts w:ascii="宋体" w:cs="宋体"/>
          <w:szCs w:val="21"/>
        </w:rPr>
      </w:pPr>
    </w:p>
    <w:p>
      <w:pPr>
        <w:pStyle w:val="310"/>
        <w:spacing w:line="560" w:lineRule="exact"/>
        <w:ind w:firstLine="420" w:firstLineChars="200"/>
        <w:rPr>
          <w:rFonts w:ascii="宋体" w:cs="宋体"/>
          <w:szCs w:val="21"/>
        </w:rPr>
      </w:pPr>
      <w:r>
        <w:rPr>
          <w:rFonts w:ascii="宋体" w:cs="宋体" w:hint="eastAsia"/>
          <w:szCs w:val="21"/>
        </w:rPr>
        <w:t>甲方∶中国电子口岸数据中心深圳分中心 乙方∶</w:t>
      </w:r>
    </w:p>
    <w:p>
      <w:pPr>
        <w:pStyle w:val="310"/>
        <w:spacing w:line="560" w:lineRule="exact"/>
        <w:ind w:firstLine="420" w:firstLineChars="200"/>
        <w:rPr>
          <w:rFonts w:ascii="宋体" w:cs="宋体"/>
          <w:szCs w:val="21"/>
        </w:rPr>
      </w:pPr>
      <w:r>
        <w:rPr>
          <w:rFonts w:ascii="宋体" w:cs="宋体" w:hint="eastAsia"/>
          <w:szCs w:val="21"/>
        </w:rPr>
        <w:t>盖章                                 盖章</w:t>
      </w:r>
    </w:p>
    <w:p>
      <w:pPr>
        <w:pStyle w:val="310"/>
        <w:spacing w:line="560" w:lineRule="exact"/>
        <w:ind w:firstLine="420" w:firstLineChars="200"/>
        <w:rPr>
          <w:rFonts w:ascii="宋体" w:cs="宋体"/>
          <w:szCs w:val="21"/>
        </w:rPr>
      </w:pPr>
      <w:r>
        <w:rPr>
          <w:rFonts w:ascii="宋体" w:cs="宋体" w:hint="eastAsia"/>
          <w:szCs w:val="21"/>
        </w:rPr>
        <w:t>联系代表∶                           联系代表∶</w:t>
      </w:r>
    </w:p>
    <w:p>
      <w:pPr>
        <w:pStyle w:val="1710"/>
        <w:spacing w:line="560" w:lineRule="exact"/>
        <w:ind w:firstLine="420" w:firstLineChars="200"/>
        <w:rPr>
          <w:rFonts w:ascii="黑体" w:eastAsia="黑体" w:cs="黑体"/>
          <w:color w:val="000000"/>
          <w:sz w:val="32"/>
          <w:szCs w:val="32"/>
        </w:rPr>
      </w:pPr>
      <w:r>
        <w:rPr>
          <w:rFonts w:ascii="宋体" w:hAnsi="宋体" w:cs="宋体" w:hint="eastAsia"/>
          <w:szCs w:val="21"/>
        </w:rPr>
        <w:t>签字日期∶                           签字日期∶</w:t>
        <w:br w:type="page"/>
      </w:r>
      <w:r>
        <w:rPr>
          <w:rFonts w:ascii="黑体" w:eastAsia="黑体" w:cs="黑体" w:hint="eastAsia"/>
          <w:color w:val="000000"/>
          <w:sz w:val="32"/>
          <w:szCs w:val="32"/>
        </w:rPr>
        <w:t>附件</w:t>
      </w:r>
      <w:r>
        <w:rPr>
          <w:rFonts w:ascii="黑体" w:eastAsia="黑体" w:cs="黑体"/>
          <w:color w:val="000000"/>
          <w:sz w:val="32"/>
          <w:szCs w:val="32"/>
        </w:rPr>
        <w:t>2</w:t>
      </w:r>
    </w:p>
    <w:p>
      <w:pPr>
        <w:pStyle w:val="1910"/>
        <w:jc w:val="center"/>
        <w:rPr>
          <w:rFonts w:ascii="方正小标宋_GBK" w:eastAsia="方正小标宋_GBK" w:cs="方正小标宋_GBK"/>
          <w:bCs/>
          <w:sz w:val="44"/>
          <w:szCs w:val="44"/>
        </w:rPr>
      </w:pPr>
      <w:r>
        <w:rPr>
          <w:rFonts w:ascii="方正小标宋_GBK" w:eastAsia="方正小标宋_GBK" w:cs="方正小标宋_GBK" w:hint="eastAsia"/>
          <w:bCs/>
          <w:sz w:val="40"/>
          <w:szCs w:val="40"/>
        </w:rPr>
        <w:t>供应商廉洁承诺书</w:t>
      </w:r>
    </w:p>
    <w:p>
      <w:pPr>
        <w:pStyle w:val="1810"/>
        <w:spacing w:line="560" w:lineRule="exact"/>
        <w:rPr>
          <w:rFonts w:ascii="宋体" w:cs="宋体"/>
          <w:szCs w:val="21"/>
        </w:rPr>
      </w:pPr>
      <w:r>
        <w:rPr>
          <w:rFonts w:ascii="宋体" w:cs="宋体" w:hint="eastAsia"/>
          <w:szCs w:val="21"/>
        </w:rPr>
        <w:t>致中国电子口岸数据中心深圳分中心:</w:t>
      </w:r>
    </w:p>
    <w:p>
      <w:pPr>
        <w:pStyle w:val="1810"/>
        <w:spacing w:line="560" w:lineRule="exact"/>
        <w:ind w:firstLine="420" w:firstLineChars="200"/>
        <w:rPr>
          <w:rFonts w:ascii="宋体" w:cs="宋体"/>
          <w:szCs w:val="21"/>
        </w:rPr>
      </w:pPr>
      <w:r>
        <w:rPr>
          <w:rFonts w:ascii="宋体" w:cs="宋体" w:hint="eastAsia"/>
          <w:szCs w:val="21"/>
        </w:rPr>
        <w:t>为确保采购招投标活动的规范与廉洁，在相关业务活动(包括但不限于交易洽谈、供货、服务、承揽、技术合作交流、付款)中，从源头上预防和遏制违法违纪问题的发生，在廉洁义务和职业操守方面做出如下承诺：</w:t>
      </w:r>
    </w:p>
    <w:p>
      <w:pPr>
        <w:pStyle w:val="1810"/>
        <w:spacing w:line="560" w:lineRule="exact"/>
        <w:ind w:firstLine="420" w:firstLineChars="200"/>
        <w:rPr>
          <w:rFonts w:ascii="宋体" w:cs="宋体"/>
          <w:szCs w:val="21"/>
        </w:rPr>
      </w:pPr>
      <w:r>
        <w:rPr>
          <w:rFonts w:ascii="宋体" w:cs="宋体"/>
          <w:szCs w:val="21"/>
        </w:rPr>
        <w:t>一、</w:t>
      </w:r>
      <w:r>
        <w:rPr>
          <w:rFonts w:ascii="宋体" w:cs="宋体" w:hint="eastAsia"/>
          <w:szCs w:val="21"/>
        </w:rPr>
        <w:t>严格遵守国家法律法规，坚持廉洁、诚信的原则，恪守商业道德和职业道德规范。</w:t>
      </w:r>
    </w:p>
    <w:p>
      <w:pPr>
        <w:pStyle w:val="1810"/>
        <w:spacing w:line="560" w:lineRule="exact"/>
        <w:ind w:firstLine="420" w:firstLineChars="200"/>
        <w:rPr>
          <w:rFonts w:ascii="宋体" w:cs="宋体"/>
          <w:szCs w:val="21"/>
        </w:rPr>
      </w:pPr>
      <w:r>
        <w:rPr>
          <w:rFonts w:ascii="宋体" w:cs="宋体"/>
          <w:szCs w:val="21"/>
        </w:rPr>
        <w:t>二、</w:t>
      </w:r>
      <w:r>
        <w:rPr>
          <w:rFonts w:ascii="宋体" w:cs="宋体" w:hint="eastAsia"/>
          <w:szCs w:val="21"/>
        </w:rPr>
        <w:t>在与中国电子口岸数据中心深圳分中心达成和交易履行过程中，提供的资质证明、证照、企业及个人资料、住所、产品名称、规格、品质、服务标准、票据、权证、权利限制均为真实，不存在虚假、期满、伪造、变造行为。</w:t>
      </w:r>
    </w:p>
    <w:p>
      <w:pPr>
        <w:pStyle w:val="1810"/>
        <w:spacing w:line="560" w:lineRule="exact"/>
        <w:ind w:firstLine="420" w:firstLineChars="200"/>
        <w:rPr>
          <w:rFonts w:ascii="宋体" w:cs="宋体"/>
          <w:szCs w:val="21"/>
        </w:rPr>
      </w:pPr>
      <w:r>
        <w:rPr>
          <w:rFonts w:ascii="宋体" w:cs="宋体"/>
          <w:szCs w:val="21"/>
        </w:rPr>
        <w:t>三、</w:t>
      </w:r>
      <w:r>
        <w:rPr>
          <w:rFonts w:ascii="宋体" w:cs="宋体" w:hint="eastAsia"/>
          <w:szCs w:val="21"/>
        </w:rPr>
        <w:t>严格杜绝以下行为：</w:t>
      </w:r>
    </w:p>
    <w:p>
      <w:pPr>
        <w:pStyle w:val="1810"/>
        <w:spacing w:line="560" w:lineRule="exact"/>
        <w:ind w:firstLine="420" w:firstLineChars="200"/>
        <w:rPr>
          <w:rFonts w:ascii="宋体" w:cs="宋体"/>
          <w:szCs w:val="21"/>
        </w:rPr>
      </w:pPr>
      <w:r>
        <w:rPr>
          <w:rFonts w:ascii="宋体" w:cs="宋体"/>
          <w:szCs w:val="21"/>
        </w:rPr>
        <w:t>（一）</w:t>
      </w:r>
      <w:r>
        <w:rPr>
          <w:rFonts w:ascii="宋体" w:cs="宋体" w:hint="eastAsia"/>
          <w:szCs w:val="21"/>
        </w:rPr>
        <w:t>为达到交易目的直接或间接向中国电子口岸数据中心深圳分中心工作人员(含工作人员的配偶、子女及亲属)提供、给付不正当利益或达成不正当利益的分成。</w:t>
      </w:r>
    </w:p>
    <w:p>
      <w:pPr>
        <w:pStyle w:val="1810"/>
        <w:spacing w:line="560" w:lineRule="exact"/>
        <w:ind w:firstLine="420" w:firstLineChars="200"/>
        <w:rPr>
          <w:rFonts w:ascii="宋体" w:cs="宋体"/>
          <w:szCs w:val="21"/>
        </w:rPr>
      </w:pPr>
      <w:r>
        <w:rPr>
          <w:rFonts w:ascii="宋体" w:cs="宋体" w:hint="eastAsia"/>
          <w:szCs w:val="21"/>
        </w:rPr>
        <w:t>（二）为牟取不正当利益诱使中国电子口岸数据中心深圳分中心工作人员共同编造虚假议价资料、影响交易价格或交易之达成。</w:t>
      </w:r>
    </w:p>
    <w:p>
      <w:pPr>
        <w:pStyle w:val="1810"/>
        <w:spacing w:line="560" w:lineRule="exact"/>
        <w:ind w:firstLine="420" w:firstLineChars="200"/>
        <w:rPr>
          <w:rFonts w:ascii="宋体" w:cs="宋体"/>
          <w:szCs w:val="21"/>
        </w:rPr>
      </w:pPr>
      <w:r>
        <w:rPr>
          <w:rFonts w:ascii="宋体" w:cs="宋体" w:hint="eastAsia"/>
          <w:szCs w:val="21"/>
        </w:rPr>
        <w:t>（三）向中国电子口岸数据中心深圳分中心工作人员提供非正常商务宴请、联谊活动、度假、旅游以及到营业性娱乐场所消费。</w:t>
      </w:r>
    </w:p>
    <w:p>
      <w:pPr>
        <w:pStyle w:val="1810"/>
        <w:spacing w:line="560" w:lineRule="exact"/>
        <w:ind w:firstLine="420" w:firstLineChars="200"/>
        <w:rPr>
          <w:rFonts w:ascii="宋体" w:cs="宋体"/>
          <w:szCs w:val="21"/>
        </w:rPr>
      </w:pPr>
      <w:r>
        <w:rPr>
          <w:rFonts w:ascii="宋体" w:cs="宋体" w:hint="eastAsia"/>
          <w:szCs w:val="21"/>
        </w:rPr>
        <w:t>（四）违规获取中国电子口岸数据中心深圳分中心采购(合作)活动相关信息，与中国电子口岸数据中心深圳分中心工作人员合谋弄虚作假，串通招标或其他违规操纵采购(合作)活动。</w:t>
      </w:r>
    </w:p>
    <w:p>
      <w:pPr>
        <w:pStyle w:val="1810"/>
        <w:spacing w:line="560" w:lineRule="exact"/>
        <w:ind w:firstLine="420" w:firstLineChars="200"/>
        <w:rPr>
          <w:rFonts w:ascii="宋体" w:cs="宋体"/>
          <w:szCs w:val="21"/>
        </w:rPr>
      </w:pPr>
      <w:r>
        <w:rPr>
          <w:rFonts w:ascii="宋体" w:cs="宋体" w:hint="eastAsia"/>
          <w:szCs w:val="21"/>
        </w:rPr>
        <w:t>（五）不与其他竞卖人相互串标，不采取任何手段排挤其他竞卖人参与公平竞争。</w:t>
      </w:r>
    </w:p>
    <w:p>
      <w:pPr>
        <w:pStyle w:val="1810"/>
        <w:spacing w:line="560" w:lineRule="exact"/>
        <w:ind w:firstLine="420" w:firstLineChars="200"/>
        <w:rPr>
          <w:rFonts w:ascii="宋体" w:cs="宋体"/>
          <w:szCs w:val="21"/>
        </w:rPr>
      </w:pPr>
      <w:r>
        <w:rPr>
          <w:rFonts w:ascii="宋体" w:cs="宋体" w:hint="eastAsia"/>
          <w:szCs w:val="21"/>
        </w:rPr>
        <w:t>四、发现中国电子口岸数据中心深圳分中心工作人员有违反本承诺书行为倾向的，将及时提醒纠正并向中国电子口岸数据中心深圳分中心纪检部门举报，同时积极配合中国电子口岸数据中心深圳分中心进行调查。</w:t>
      </w:r>
    </w:p>
    <w:p>
      <w:pPr>
        <w:pStyle w:val="1810"/>
        <w:spacing w:line="560" w:lineRule="exact"/>
        <w:ind w:firstLine="420" w:firstLineChars="200"/>
        <w:rPr>
          <w:rFonts w:ascii="宋体" w:cs="宋体"/>
          <w:szCs w:val="21"/>
        </w:rPr>
      </w:pPr>
      <w:r>
        <w:rPr>
          <w:rFonts w:ascii="宋体" w:cs="宋体" w:hint="eastAsia"/>
          <w:szCs w:val="21"/>
        </w:rPr>
        <w:t>五、在项目进行过程中，供应商发现采购人及中国电子口岸数据中心深圳分中心工作人员明示或暗示要求收受贿赂，承诺立即向中国电子口岸数据中心深圳分中心纪检部门举报并提供相关证据。</w:t>
      </w:r>
    </w:p>
    <w:p>
      <w:pPr>
        <w:pStyle w:val="1810"/>
        <w:spacing w:line="560" w:lineRule="exact"/>
        <w:ind w:firstLine="420" w:firstLineChars="200"/>
        <w:rPr>
          <w:rFonts w:ascii="宋体" w:cs="宋体"/>
          <w:szCs w:val="21"/>
        </w:rPr>
      </w:pPr>
      <w:r>
        <w:rPr>
          <w:rFonts w:ascii="宋体" w:cs="宋体" w:hint="eastAsia"/>
          <w:szCs w:val="21"/>
        </w:rPr>
        <w:t>六、若违反上述条款，中国电子口岸数据中心深圳分中心有权采取列入供应商黑名单、终止采购合作等措施。</w:t>
      </w:r>
    </w:p>
    <w:p>
      <w:pPr>
        <w:pStyle w:val="1810"/>
        <w:spacing w:line="560" w:lineRule="exact"/>
        <w:ind w:firstLine="420" w:firstLineChars="200"/>
        <w:rPr>
          <w:rFonts w:ascii="宋体" w:cs="宋体"/>
          <w:szCs w:val="21"/>
        </w:rPr>
      </w:pPr>
      <w:r>
        <w:rPr>
          <w:rFonts w:ascii="宋体" w:cs="宋体" w:hint="eastAsia"/>
          <w:szCs w:val="21"/>
        </w:rPr>
        <w:t>七、承诺一经作出，始终有效。</w:t>
      </w:r>
    </w:p>
    <w:p>
      <w:pPr>
        <w:pStyle w:val="2010"/>
        <w:spacing w:line="560" w:lineRule="exact"/>
        <w:rPr>
          <w:rFonts w:ascii="宋体" w:cs="宋体"/>
          <w:szCs w:val="21"/>
        </w:rPr>
      </w:pPr>
      <w:r>
        <w:rPr>
          <w:rFonts w:ascii="宋体" w:cs="宋体" w:hint="eastAsia"/>
          <w:szCs w:val="21"/>
        </w:rPr>
        <w:t xml:space="preserve">                                          </w:t>
      </w:r>
      <w:r>
        <w:rPr>
          <w:rFonts w:ascii="宋体" w:cs="宋体"/>
          <w:szCs w:val="21"/>
        </w:rPr>
        <w:t>供应商名称:</w:t>
      </w:r>
    </w:p>
    <w:p>
      <w:pPr>
        <w:pStyle w:val="2010"/>
        <w:spacing w:line="560" w:lineRule="exact"/>
        <w:rPr>
          <w:rFonts w:ascii="宋体" w:cs="宋体"/>
          <w:kern w:val="0"/>
          <w:sz w:val="24"/>
        </w:rPr>
      </w:pPr>
      <w:r>
        <w:rPr>
          <w:rFonts w:ascii="宋体" w:cs="宋体" w:hint="eastAsia"/>
          <w:szCs w:val="21"/>
        </w:rPr>
        <w:t xml:space="preserve">                                          </w:t>
      </w:r>
      <w:r>
        <w:rPr>
          <w:rFonts w:ascii="宋体" w:cs="宋体"/>
          <w:szCs w:val="21"/>
        </w:rPr>
        <w:t>法人签字(公章)：</w:t>
      </w:r>
    </w:p>
    <w:p>
      <w:pPr>
        <w:pStyle w:val="2110"/>
        <w:spacing w:line="560" w:lineRule="exact"/>
        <w:rPr>
          <w:rFonts w:ascii="宋体" w:cs="宋体"/>
          <w:szCs w:val="21"/>
        </w:rPr>
      </w:pPr>
      <w:r>
        <w:rPr>
          <w:rFonts w:ascii="宋体" w:cs="宋体" w:hint="eastAsia"/>
          <w:szCs w:val="21"/>
        </w:rPr>
        <w:t xml:space="preserve">                                         </w:t>
      </w:r>
      <w:r>
        <w:rPr>
          <w:rFonts w:ascii="宋体" w:cs="宋体"/>
          <w:szCs w:val="21"/>
        </w:rPr>
        <w:t xml:space="preserve"> 供应商联系电话:</w:t>
      </w:r>
    </w:p>
    <w:p>
      <w:pPr>
        <w:pStyle w:val="2110"/>
        <w:spacing w:line="560" w:lineRule="exact"/>
        <w:rPr>
          <w:rFonts w:ascii="宋体" w:cs="宋体"/>
          <w:kern w:val="0"/>
          <w:sz w:val="24"/>
        </w:rPr>
      </w:pPr>
      <w:r>
        <w:rPr>
          <w:rFonts w:ascii="宋体" w:cs="宋体" w:hint="eastAsia"/>
          <w:szCs w:val="21"/>
        </w:rPr>
        <w:t xml:space="preserve">                                          年   月   日</w:t>
      </w:r>
    </w:p>
    <w:p>
      <w:pPr>
        <w:pStyle w:val="310"/>
        <w:spacing w:line="560" w:lineRule="exact"/>
        <w:rPr>
          <w:rFonts w:ascii="黑体" w:eastAsia="黑体" w:cs="黑体"/>
          <w:sz w:val="28"/>
          <w:szCs w:val="28"/>
        </w:rPr>
      </w:pPr>
      <w:r>
        <w:rPr>
          <w:rFonts w:ascii="宋体" w:cs="宋体" w:hint="eastAsia"/>
          <w:szCs w:val="21"/>
        </w:rPr>
        <w:br w:type="page"/>
      </w:r>
      <w:r>
        <w:rPr>
          <w:rFonts w:ascii="黑体" w:eastAsia="黑体" w:cs="黑体" w:hint="eastAsia"/>
          <w:sz w:val="32"/>
          <w:szCs w:val="32"/>
        </w:rPr>
        <w:t>附件</w:t>
      </w:r>
      <w:r>
        <w:rPr>
          <w:rFonts w:ascii="黑体" w:eastAsia="黑体" w:cs="黑体"/>
          <w:sz w:val="32"/>
          <w:szCs w:val="32"/>
        </w:rPr>
        <w:t>3</w:t>
      </w:r>
    </w:p>
    <w:p>
      <w:pPr>
        <w:pStyle w:val="410"/>
        <w:jc w:val="center"/>
        <w:rPr>
          <w:rFonts w:ascii="方正小标宋_GBK" w:eastAsia="方正小标宋_GBK" w:cs="方正小标宋_GBK"/>
          <w:bCs/>
          <w:sz w:val="44"/>
          <w:szCs w:val="44"/>
        </w:rPr>
      </w:pPr>
      <w:r>
        <w:rPr>
          <w:rFonts w:ascii="方正小标宋_GBK" w:eastAsia="方正小标宋_GBK" w:cs="方正小标宋_GBK" w:hint="eastAsia"/>
          <w:bCs/>
          <w:sz w:val="40"/>
          <w:szCs w:val="40"/>
        </w:rPr>
        <w:t>项目人员服务承诺书</w:t>
      </w:r>
    </w:p>
    <w:p>
      <w:pPr>
        <w:pStyle w:val="310"/>
        <w:spacing w:line="560" w:lineRule="exact"/>
        <w:ind w:firstLine="420" w:firstLineChars="200"/>
        <w:rPr>
          <w:rFonts w:ascii="宋体" w:cs="宋体"/>
          <w:szCs w:val="21"/>
        </w:rPr>
      </w:pPr>
      <w:r>
        <w:rPr>
          <w:rFonts w:ascii="宋体" w:cs="宋体" w:hint="eastAsia"/>
          <w:szCs w:val="21"/>
          <w:u w:val="single"/>
        </w:rPr>
        <w:t>本人           身份证号:                     是中国电子口岸数据中心深圳分中心（以下简称“数据分中心”）                 项目人员，</w:t>
      </w:r>
      <w:r>
        <w:rPr>
          <w:rFonts w:ascii="宋体" w:cs="宋体" w:hint="eastAsia"/>
          <w:szCs w:val="21"/>
        </w:rPr>
        <w:t>自参与项目之日起至离岗，因本人知悉数据分中心的技术信息，为有效保护数据分中心的技术信息和商业利益，本人在此郑重承诺：</w:t>
      </w:r>
    </w:p>
    <w:p>
      <w:pPr>
        <w:pStyle w:val="310"/>
        <w:spacing w:line="560" w:lineRule="exact"/>
        <w:ind w:firstLine="420" w:firstLineChars="200"/>
        <w:rPr>
          <w:rFonts w:ascii="宋体" w:cs="宋体"/>
          <w:szCs w:val="21"/>
        </w:rPr>
      </w:pPr>
      <w:r>
        <w:rPr>
          <w:rFonts w:ascii="宋体" w:cs="宋体" w:hint="eastAsia"/>
          <w:szCs w:val="21"/>
        </w:rPr>
        <w:t>一、对数据分中心的以下技术信息绝对保密：包括但不局限于电子口岸用户信息、平台技术信息、网络拓扑信息、通讯协议信息、登录用户名与密码、安全证书、软件开发源代码等信息。</w:t>
      </w:r>
    </w:p>
    <w:p>
      <w:pPr>
        <w:pStyle w:val="310"/>
        <w:spacing w:line="560" w:lineRule="exact"/>
        <w:ind w:firstLine="420" w:firstLineChars="200"/>
        <w:rPr>
          <w:rFonts w:ascii="宋体" w:cs="宋体"/>
          <w:szCs w:val="21"/>
        </w:rPr>
      </w:pPr>
      <w:r>
        <w:rPr>
          <w:rFonts w:ascii="宋体" w:cs="宋体" w:hint="eastAsia"/>
          <w:szCs w:val="21"/>
        </w:rPr>
        <w:t>二、以上技术信息的载体包括但不限于书面、视频、音频、电子文档、照片等任何载体。</w:t>
      </w:r>
    </w:p>
    <w:p>
      <w:pPr>
        <w:pStyle w:val="310"/>
        <w:spacing w:line="560" w:lineRule="exact"/>
        <w:ind w:firstLine="420" w:firstLineChars="200"/>
        <w:rPr>
          <w:rFonts w:ascii="宋体" w:cs="宋体"/>
          <w:szCs w:val="21"/>
        </w:rPr>
      </w:pPr>
      <w:r>
        <w:rPr>
          <w:rFonts w:ascii="宋体" w:cs="宋体" w:hint="eastAsia"/>
          <w:szCs w:val="21"/>
        </w:rPr>
        <w:t>三、本人承诺，未经数据分中心书面同意，绝不泄露、告知、公布、发布、出版、传授、转让或者以其他任何方式使任何第三方知悉数据分中心的以上技术信息。</w:t>
      </w:r>
    </w:p>
    <w:p>
      <w:pPr>
        <w:pStyle w:val="310"/>
        <w:spacing w:line="560" w:lineRule="exact"/>
        <w:ind w:firstLine="420" w:firstLineChars="200"/>
        <w:rPr>
          <w:rFonts w:ascii="宋体" w:cs="宋体"/>
          <w:szCs w:val="21"/>
        </w:rPr>
      </w:pPr>
      <w:r>
        <w:rPr>
          <w:rFonts w:ascii="宋体" w:cs="宋体" w:hint="eastAsia"/>
          <w:szCs w:val="21"/>
        </w:rPr>
        <w:t>四、本人承诺，离岗前将承载数据分中心技术信息的介质原件及复制件全部交予指定人员，且不将本承诺书所涉及的各项系统安全信息保存在非数据分中心的个人网络存储空间。</w:t>
      </w:r>
    </w:p>
    <w:p>
      <w:pPr>
        <w:pStyle w:val="310"/>
        <w:spacing w:line="560" w:lineRule="exact"/>
        <w:ind w:firstLine="420" w:firstLineChars="200"/>
        <w:rPr>
          <w:rFonts w:ascii="宋体" w:cs="宋体"/>
          <w:szCs w:val="21"/>
        </w:rPr>
      </w:pPr>
      <w:r>
        <w:rPr>
          <w:rFonts w:ascii="宋体" w:cs="宋体" w:hint="eastAsia"/>
          <w:szCs w:val="21"/>
        </w:rPr>
        <w:t>五、本人在数据分中心履行合约期间完成的所有产品成果均为数据分中心所有，本人承诺不将上述工作成果泄露、出卖或转让给其他任何企业、组织或个人。</w:t>
      </w:r>
    </w:p>
    <w:p>
      <w:pPr>
        <w:pStyle w:val="310"/>
        <w:spacing w:line="560" w:lineRule="exact"/>
        <w:ind w:firstLine="420" w:firstLineChars="200"/>
        <w:rPr>
          <w:rFonts w:ascii="宋体" w:cs="宋体"/>
          <w:szCs w:val="21"/>
        </w:rPr>
      </w:pPr>
      <w:r>
        <w:rPr>
          <w:rFonts w:ascii="宋体" w:cs="宋体" w:hint="eastAsia"/>
          <w:szCs w:val="21"/>
        </w:rPr>
        <w:t>六、本人承诺，离岗后不对数据分中心的技术信息进行复制，也不利用数据分中心的技术信息进行新的研究或开发，不将数据分中心技术信息用于与电子口岸项目有关的任何用途。</w:t>
      </w:r>
    </w:p>
    <w:p>
      <w:pPr>
        <w:pStyle w:val="310"/>
        <w:spacing w:line="560" w:lineRule="exact"/>
        <w:ind w:firstLine="420" w:firstLineChars="200"/>
        <w:rPr>
          <w:rFonts w:ascii="宋体" w:cs="宋体"/>
          <w:szCs w:val="21"/>
        </w:rPr>
      </w:pPr>
      <w:r>
        <w:rPr>
          <w:rFonts w:ascii="宋体" w:cs="宋体" w:hint="eastAsia"/>
          <w:szCs w:val="21"/>
        </w:rPr>
        <w:t>七、如违反上述承诺，本人愿意赔偿因此给数据分中心造成的损失及承担由此引起的相关法律责任。</w:t>
      </w:r>
    </w:p>
    <w:p>
      <w:pPr>
        <w:pStyle w:val="310"/>
        <w:spacing w:line="560" w:lineRule="exact"/>
        <w:rPr>
          <w:rFonts w:ascii="宋体" w:cs="宋体"/>
          <w:szCs w:val="21"/>
        </w:rPr>
      </w:pPr>
      <w:r>
        <w:rPr>
          <w:rFonts w:ascii="宋体" w:cs="宋体" w:hint="eastAsia"/>
          <w:szCs w:val="21"/>
        </w:rPr>
        <w:t>本人自愿签订《项目人员服务承诺书》，愿意按承诺书中规定的内容承担保密责任。承诺书自本人签订之日起生效。</w:t>
      </w:r>
    </w:p>
    <w:p>
      <w:pPr>
        <w:pStyle w:val="310"/>
        <w:spacing w:line="560" w:lineRule="exact"/>
        <w:rPr>
          <w:rFonts w:ascii="宋体" w:cs="宋体"/>
          <w:szCs w:val="21"/>
        </w:rPr>
      </w:pPr>
      <w:r>
        <w:rPr>
          <w:rFonts w:ascii="宋体" w:cs="宋体" w:hint="eastAsia"/>
          <w:szCs w:val="21"/>
        </w:rPr>
        <w:t xml:space="preserve">                                          承诺人签名：</w:t>
      </w:r>
    </w:p>
    <w:p>
      <w:pPr>
        <w:pStyle w:val="310"/>
        <w:spacing w:line="560" w:lineRule="exact"/>
        <w:rPr>
          <w:rFonts w:ascii="宋体" w:cs="宋体"/>
          <w:kern w:val="0"/>
          <w:sz w:val="24"/>
        </w:rPr>
      </w:pPr>
      <w:r>
        <w:rPr>
          <w:rFonts w:ascii="宋体" w:cs="宋体" w:hint="eastAsia"/>
          <w:szCs w:val="21"/>
        </w:rPr>
        <w:t xml:space="preserve">                                          年   月   日</w:t>
      </w:r>
    </w:p>
    <w:p>
      <w:pPr>
        <w:pStyle w:val="11"/>
        <w:spacing w:line="540" w:lineRule="exact"/>
        <w:rPr>
          <w:rFonts w:ascii="方正黑体_GBK" w:eastAsia="方正黑体_GBK"/>
        </w:rPr>
      </w:pPr>
      <w:r>
        <w:rPr>
          <w:rFonts w:ascii="黑体" w:eastAsia="黑体" w:cs="黑体"/>
          <w:color w:val="000000"/>
          <w:szCs w:val="32"/>
        </w:rPr>
        <w:br w:type="page"/>
      </w:r>
      <w:r>
        <w:rPr>
          <w:rFonts w:ascii="方正黑体_GBK" w:eastAsia="方正黑体_GBK" w:hint="eastAsia"/>
        </w:rPr>
        <w:t>附件</w:t>
      </w:r>
      <w:r>
        <w:rPr>
          <w:rFonts w:ascii="方正黑体_GBK" w:eastAsia="方正黑体_GBK"/>
        </w:rPr>
        <w:t>4</w:t>
      </w:r>
    </w:p>
    <w:p>
      <w:pPr>
        <w:pStyle w:val="11"/>
        <w:spacing w:line="540" w:lineRule="exact"/>
        <w:jc w:val="center"/>
        <w:rPr>
          <w:rFonts w:ascii="方正小标宋_GBK" w:eastAsia="方正小标宋_GBK"/>
          <w:sz w:val="44"/>
          <w:szCs w:val="44"/>
        </w:rPr>
      </w:pPr>
      <w:r>
        <w:rPr>
          <w:rFonts w:ascii="方正小标宋_GBK" w:eastAsia="方正小标宋_GBK" w:hint="eastAsia"/>
          <w:sz w:val="40"/>
          <w:szCs w:val="40"/>
        </w:rPr>
        <w:t>海关信息系统用户网络安全承诺书</w:t>
      </w:r>
    </w:p>
    <w:p>
      <w:pPr>
        <w:pStyle w:val="510"/>
        <w:spacing w:line="560" w:lineRule="exact"/>
        <w:rPr>
          <w:rFonts w:ascii="宋体" w:cs="宋体"/>
          <w:szCs w:val="21"/>
        </w:rPr>
      </w:pPr>
      <w:r>
        <w:rPr>
          <w:rFonts w:ascii="宋体" w:cs="宋体" w:hint="eastAsia"/>
          <w:szCs w:val="21"/>
        </w:rPr>
        <w:t>致</w:t>
      </w:r>
      <w:r>
        <w:rPr>
          <w:rFonts w:ascii="宋体" w:cs="宋体"/>
          <w:szCs w:val="21"/>
          <w:u w:val="single"/>
        </w:rPr>
        <w:t>中国电子口岸数据中心深圳分中心</w:t>
      </w:r>
      <w:r>
        <w:rPr>
          <w:rFonts w:ascii="宋体" w:cs="宋体" w:hint="eastAsia"/>
          <w:szCs w:val="21"/>
        </w:rPr>
        <w:t>：</w:t>
      </w:r>
    </w:p>
    <w:p>
      <w:pPr>
        <w:pStyle w:val="510"/>
        <w:spacing w:line="560" w:lineRule="exact"/>
        <w:ind w:firstLine="420" w:firstLineChars="200"/>
        <w:rPr>
          <w:rFonts w:ascii="宋体" w:cs="宋体"/>
          <w:szCs w:val="21"/>
        </w:rPr>
      </w:pPr>
      <w:r>
        <w:rPr>
          <w:rFonts w:ascii="宋体" w:cs="宋体" w:hint="eastAsia"/>
          <w:szCs w:val="21"/>
        </w:rPr>
        <w:t>我郑重承诺遵守本承诺书的有关条款，如有违反本承诺书有关条款的行为，将承担由此带来的刑事、行政、民事责任。</w:t>
      </w:r>
    </w:p>
    <w:p>
      <w:pPr>
        <w:pStyle w:val="510"/>
        <w:spacing w:line="560" w:lineRule="exact"/>
        <w:ind w:firstLine="420" w:firstLineChars="200"/>
        <w:rPr>
          <w:rFonts w:ascii="宋体" w:cs="宋体"/>
          <w:szCs w:val="21"/>
        </w:rPr>
      </w:pPr>
      <w:r>
        <w:rPr>
          <w:rFonts w:ascii="宋体" w:cs="宋体" w:hint="eastAsia"/>
          <w:szCs w:val="21"/>
        </w:rPr>
        <w:t>一、我承诺遵守《中华人民共和国网络安全法》、《海关网络安全管理规定》及相关网络安全管理制度、文件规定。</w:t>
      </w:r>
    </w:p>
    <w:p>
      <w:pPr>
        <w:pStyle w:val="510"/>
        <w:spacing w:line="560" w:lineRule="exact"/>
        <w:ind w:firstLine="420" w:firstLineChars="200"/>
        <w:rPr>
          <w:rFonts w:ascii="宋体" w:cs="宋体"/>
          <w:szCs w:val="21"/>
        </w:rPr>
      </w:pPr>
      <w:r>
        <w:rPr>
          <w:rFonts w:ascii="宋体" w:cs="宋体" w:hint="eastAsia"/>
          <w:szCs w:val="21"/>
        </w:rPr>
        <w:t>二、我承诺不破坏海关信息系统的安全稳定运行；不发布或者传播法律、行政法规及海关规定禁止发布或者传播的信息；不盗取数据、破坏系统；不使用非涉密计算机、非涉密存储设备存储、处理国家秘密信息；不擅自卸载、修改计算机安装的安全工具；不非法出售或者非法向他人提供关键信息基础设施、用户个人信息等敏感、内部数据。</w:t>
      </w:r>
    </w:p>
    <w:p>
      <w:pPr>
        <w:pStyle w:val="510"/>
        <w:spacing w:line="560" w:lineRule="exact"/>
        <w:ind w:firstLine="420" w:firstLineChars="200"/>
        <w:rPr>
          <w:rFonts w:ascii="宋体" w:cs="宋体"/>
          <w:szCs w:val="21"/>
        </w:rPr>
      </w:pPr>
      <w:r>
        <w:rPr>
          <w:rFonts w:ascii="宋体" w:cs="宋体" w:hint="eastAsia"/>
          <w:szCs w:val="21"/>
        </w:rPr>
        <w:t>三、我承诺妥善保管自己的身份认证设备及认证信息，防止被他人盗用，不将身份认证设备或者认证信息借用给他人。</w:t>
      </w:r>
    </w:p>
    <w:p>
      <w:pPr>
        <w:pStyle w:val="510"/>
        <w:spacing w:line="560" w:lineRule="exact"/>
        <w:ind w:firstLine="420" w:firstLineChars="200"/>
        <w:rPr>
          <w:rFonts w:ascii="宋体" w:cs="宋体"/>
          <w:szCs w:val="21"/>
        </w:rPr>
      </w:pPr>
      <w:r>
        <w:rPr>
          <w:rFonts w:ascii="宋体" w:cs="宋体" w:hint="eastAsia"/>
          <w:szCs w:val="21"/>
        </w:rPr>
        <w:t>四、我承诺按照规定做好个人信息化设备安全管理，加强恶意代码防护，按照要求在处理外部传入的文件或者邮件前，提前进行恶意代码检查。</w:t>
      </w:r>
    </w:p>
    <w:p>
      <w:pPr>
        <w:adjustRightInd w:val="0"/>
        <w:snapToGrid w:val="0"/>
        <w:rPr>
          <w:rFonts w:cs="宋体"/>
        </w:rPr>
      </w:pPr>
      <w:r>
        <w:rPr>
          <w:rFonts w:ascii="宋体" w:cs="宋体" w:hint="eastAsia"/>
          <w:szCs w:val="21"/>
        </w:rPr>
        <w:t>五、我承诺如在信息系统使用过程中发现网络安全问题，及时向本单位网络安全主管部门报告，绝不违规利用各类漏洞</w:t>
      </w:r>
      <w:r>
        <w:rPr>
          <w:rFonts w:cs="宋体" w:hint="eastAsia"/>
        </w:rPr>
        <w:t>。</w:t>
      </w:r>
    </w:p>
    <w:p>
      <w:pPr>
        <w:pStyle w:val="510"/>
        <w:spacing w:line="560" w:lineRule="exact"/>
        <w:ind w:firstLine="420" w:firstLineChars="200"/>
        <w:rPr>
          <w:rFonts w:cs="宋体"/>
          <w:bCs/>
        </w:rPr>
      </w:pPr>
      <w:r>
        <w:rPr>
          <w:rFonts w:cs="宋体" w:hint="eastAsia"/>
          <w:bCs/>
        </w:rPr>
        <w:t>本人已知晓并承诺遵守相关要求。</w:t>
      </w:r>
    </w:p>
    <w:p>
      <w:pPr>
        <w:pStyle w:val="510"/>
        <w:spacing w:line="560" w:lineRule="exact"/>
        <w:ind w:firstLine="420" w:firstLineChars="200"/>
        <w:rPr>
          <w:rFonts w:cs="宋体"/>
          <w:iCs/>
        </w:rPr>
      </w:pPr>
      <w:r>
        <w:rPr>
          <w:rFonts w:cs="宋体" w:hint="eastAsia"/>
          <w:iCs/>
        </w:rPr>
        <w:t>（手抄确认）：</w:t>
      </w:r>
    </w:p>
    <w:p>
      <w:pPr>
        <w:pStyle w:val="510"/>
        <w:spacing w:line="560" w:lineRule="exact"/>
        <w:ind w:firstLine="420" w:firstLineChars="200"/>
        <w:rPr>
          <w:rFonts w:cs="宋体"/>
        </w:rPr>
      </w:pPr>
    </w:p>
    <w:p>
      <w:pPr>
        <w:pStyle w:val="710"/>
        <w:spacing w:line="560" w:lineRule="exact"/>
        <w:rPr>
          <w:rFonts w:ascii="宋体" w:cs="宋体"/>
          <w:szCs w:val="21"/>
        </w:rPr>
      </w:pPr>
      <w:r>
        <w:rPr>
          <w:rFonts w:cs="宋体" w:hint="eastAsia"/>
        </w:rPr>
        <w:t xml:space="preserve">                          </w:t>
      </w:r>
      <w:r>
        <w:rPr>
          <w:rFonts w:ascii="宋体" w:cs="宋体" w:hint="eastAsia"/>
          <w:szCs w:val="21"/>
        </w:rPr>
        <w:t xml:space="preserve">                承诺人签名：</w:t>
      </w:r>
    </w:p>
    <w:p>
      <w:pPr>
        <w:pStyle w:val="710"/>
        <w:spacing w:line="560" w:lineRule="exact"/>
        <w:rPr>
          <w:rFonts w:ascii="宋体" w:cs="宋体"/>
          <w:kern w:val="0"/>
          <w:sz w:val="24"/>
        </w:rPr>
      </w:pPr>
      <w:r>
        <w:rPr>
          <w:rFonts w:ascii="宋体" w:cs="宋体" w:hint="eastAsia"/>
          <w:szCs w:val="21"/>
        </w:rPr>
        <w:t xml:space="preserve">                                          年   月   日</w:t>
      </w:r>
    </w:p>
    <w:p>
      <w:pPr>
        <w:pStyle w:val="Heading1"/>
        <w:rPr>
          <w:highlight w:val="white"/>
        </w:rPr>
      </w:pPr>
      <w:bookmarkEnd w:id="35"/>
    </w:p>
    <w:p>
      <w:pPr>
        <w:pStyle w:val="Heading1"/>
        <w:rPr>
          <w:highlight w:val="white"/>
        </w:rPr>
      </w:pPr>
      <w:bookmarkStart w:id="86" w:name="_Toc71168519"/>
      <w:r>
        <w:rPr>
          <w:rFonts w:hint="eastAsia"/>
          <w:highlight w:val="white"/>
        </w:rPr>
        <w:t>第六部分  投标文件格式</w:t>
      </w:r>
      <w:bookmarkEnd w:id="86"/>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r>
        <w:rPr>
          <w:rFonts w:ascii="宋体" w:hint="eastAsia"/>
          <w:sz w:val="24"/>
        </w:rPr>
        <w:t>投标人提交文件须知：</w:t>
      </w:r>
    </w:p>
    <w:p>
      <w:pPr>
        <w:tabs>
          <w:tab w:val="left" w:pos="588"/>
        </w:tabs>
        <w:autoSpaceDN w:val="0"/>
        <w:spacing w:line="360" w:lineRule="auto"/>
        <w:rPr>
          <w:rFonts w:ascii="宋体"/>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cs="微软雅黑"/>
          <w:sz w:val="24"/>
        </w:rPr>
      </w:pPr>
      <w:r>
        <w:rPr>
          <w:rFonts w:ascii="宋体" w:hint="eastAsia"/>
          <w:sz w:val="24"/>
        </w:rPr>
        <w:t>2.</w:t>
      </w:r>
      <w:r>
        <w:rPr>
          <w:rFonts w:ascii="宋体" w:cs="微软雅黑" w:hint="eastAsia"/>
          <w:sz w:val="24"/>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bCs/>
          <w:sz w:val="24"/>
        </w:rPr>
      </w:pPr>
      <w:r>
        <w:rPr>
          <w:rFonts w:ascii="宋体" w:cs="微软雅黑" w:hint="eastAsia"/>
          <w:bCs/>
          <w:sz w:val="24"/>
        </w:rPr>
        <w:t>3.提及的全部投标材料都须加盖供应商的电子签章。</w:t>
      </w:r>
    </w:p>
    <w:p>
      <w:pPr>
        <w:tabs>
          <w:tab w:val="left" w:pos="588"/>
        </w:tabs>
        <w:autoSpaceDN w:val="0"/>
        <w:spacing w:line="360" w:lineRule="auto"/>
        <w:ind w:left="1"/>
        <w:rPr>
          <w:rFonts w:ascii="宋体" w:cs="微软雅黑"/>
          <w:bCs/>
          <w:sz w:val="24"/>
        </w:rPr>
      </w:pPr>
      <w:r>
        <w:rPr>
          <w:rFonts w:ascii="宋体" w:cs="微软雅黑" w:hint="eastAsia"/>
          <w:bCs/>
          <w:sz w:val="24"/>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sz w:val="24"/>
        </w:rPr>
      </w:pPr>
      <w:r>
        <w:rPr>
          <w:rFonts w:ascii="宋体" w:hint="eastAsia"/>
          <w:sz w:val="24"/>
        </w:rPr>
        <w:t>6.投标人提交的材料将被保密保存，但不退还。</w:t>
      </w:r>
    </w:p>
    <w:p>
      <w:pPr>
        <w:tabs>
          <w:tab w:val="left" w:pos="588"/>
        </w:tabs>
        <w:autoSpaceDN w:val="0"/>
        <w:spacing w:line="360" w:lineRule="auto"/>
        <w:rPr>
          <w:rFonts w:ascii="宋体"/>
          <w:sz w:val="24"/>
        </w:rPr>
      </w:pPr>
      <w:r>
        <w:rPr>
          <w:rFonts w:ascii="宋体" w:hint="eastAsia"/>
          <w:sz w:val="24"/>
        </w:rPr>
        <w:t>7.全部文件应按投标人须知中规定的语言和份数提交。</w:t>
      </w: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autoSpaceDN w:val="0"/>
        <w:spacing w:line="360" w:lineRule="auto"/>
        <w:jc w:val="left"/>
        <w:outlineLvl w:val="2"/>
        <w:rPr>
          <w:rFonts w:ascii="宋体"/>
          <w:b/>
          <w:bCs/>
          <w:sz w:val="30"/>
          <w:szCs w:val="30"/>
          <w:highlight w:val="white"/>
        </w:rPr>
      </w:pPr>
    </w:p>
    <w:p>
      <w:pPr>
        <w:pStyle w:val="6"/>
        <w:keepNext w:val="0"/>
        <w:keepLines w:val="0"/>
        <w:widowControl w:val="0"/>
        <w:autoSpaceDN w:val="0"/>
        <w:spacing w:before="0" w:after="0" w:line="360" w:lineRule="auto"/>
        <w:jc w:val="center"/>
        <w:outlineLvl w:val="9"/>
        <w:rPr>
          <w:rFonts w:ascii="宋体" w:eastAsia="宋体"/>
          <w:szCs w:val="32"/>
          <w:lang w:eastAsia="zh-CN"/>
        </w:rPr>
      </w:pPr>
      <w:bookmarkStart w:id="87" w:name="投标文件格式"/>
      <w:r>
        <w:rPr>
          <w:rFonts w:ascii="宋体" w:eastAsia="宋体" w:hint="eastAsia"/>
          <w:szCs w:val="32"/>
          <w:lang w:eastAsia="zh-CN"/>
        </w:rPr>
        <w:t>开标一览表格式</w:t>
      </w:r>
    </w:p>
    <w:p>
      <w:pPr>
        <w:pStyle w:val="186810"/>
        <w:autoSpaceDN w:val="0"/>
        <w:rPr>
          <w:rFonts w:ascii="宋体" w:eastAsia="宋体"/>
          <w:sz w:val="24"/>
          <w:szCs w:val="24"/>
          <w:lang w:eastAsia="zh-CN"/>
        </w:rPr>
      </w:pPr>
    </w:p>
    <w:p>
      <w:pPr>
        <w:pStyle w:val="186810"/>
        <w:autoSpaceDN w:val="0"/>
        <w:spacing w:line="360" w:lineRule="auto"/>
        <w:rPr>
          <w:rFonts w:ascii="宋体" w:eastAsia="宋体"/>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sz w:val="24"/>
          <w:szCs w:val="24"/>
          <w:lang w:eastAsia="zh-CN"/>
        </w:rPr>
      </w:pPr>
      <w:r>
        <w:rPr>
          <w:rFonts w:ascii="宋体" w:eastAsia="宋体" w:hint="eastAsia"/>
          <w:sz w:val="24"/>
          <w:szCs w:val="24"/>
          <w:u w:val="single"/>
          <w:lang w:eastAsia="zh-CN"/>
        </w:rPr>
        <w:t>投标人名称：</w:t>
      </w:r>
    </w:p>
    <w:tbl>
      <w:tblPr>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1009"/>
        <w:gridCol w:w="2861"/>
        <w:gridCol w:w="1567"/>
        <w:gridCol w:w="1080"/>
        <w:gridCol w:w="853"/>
        <w:gridCol w:w="1009"/>
        <w:gridCol w:w="1009"/>
      </w:tblGrid>
      <w:tr>
        <w:tblPrEx>
          <w:tblW w:w="5614" w:type="pct"/>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noWrap/>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noWrap/>
            <w:vAlign w:val="center"/>
          </w:tcPr>
          <w:p>
            <w:pPr>
              <w:pStyle w:val="1410"/>
              <w:jc w:val="center"/>
              <w:rPr>
                <w:sz w:val="24"/>
              </w:rPr>
            </w:pPr>
            <w:r>
              <w:rPr>
                <w:rFonts w:hint="eastAsia"/>
                <w:sz w:val="24"/>
              </w:rPr>
              <w:t>投标总价</w:t>
            </w:r>
          </w:p>
          <w:p>
            <w:pPr>
              <w:pStyle w:val="1410"/>
              <w:jc w:val="center"/>
              <w:rPr>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noWrap/>
            <w:vAlign w:val="center"/>
          </w:tcPr>
          <w:p>
            <w:pPr>
              <w:pStyle w:val="1310"/>
              <w:jc w:val="center"/>
              <w:rPr>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noWrap/>
            <w:vAlign w:val="center"/>
          </w:tcPr>
          <w:p>
            <w:pPr>
              <w:pStyle w:val="1210"/>
              <w:jc w:val="center"/>
              <w:rPr>
                <w:color w:val="000000"/>
                <w:kern w:val="0"/>
                <w:szCs w:val="21"/>
                <w:highlight w:val="white"/>
              </w:rPr>
            </w:pPr>
            <w:r>
              <w:rPr>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noWrap/>
            <w:vAlign w:val="center"/>
          </w:tcPr>
          <w:p>
            <w:pPr>
              <w:pStyle w:val="1110"/>
              <w:jc w:val="center"/>
              <w:rPr>
                <w:sz w:val="24"/>
              </w:rPr>
            </w:pPr>
            <w:r>
              <w:rPr>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noWrap/>
            <w:vAlign w:val="center"/>
          </w:tcPr>
          <w:p>
            <w:pPr>
              <w:pStyle w:val="1010"/>
              <w:jc w:val="center"/>
              <w:rPr>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noWrap/>
            <w:vAlign w:val="center"/>
          </w:tcPr>
          <w:p>
            <w:pPr>
              <w:pStyle w:val="910"/>
              <w:jc w:val="center"/>
              <w:rPr>
                <w:sz w:val="24"/>
              </w:rPr>
            </w:pPr>
            <w:r>
              <w:rPr>
                <w:sz w:val="24"/>
              </w:rPr>
              <w:t>中小企业</w:t>
            </w:r>
          </w:p>
        </w:tc>
      </w:tr>
      <w:tr>
        <w:tblPrEx>
          <w:tblW w:w="5614" w:type="pct"/>
          <w:jc w:val="center"/>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noWrap/>
            <w:vAlign w:val="center"/>
          </w:tcPr>
          <w:p>
            <w:pPr>
              <w:pStyle w:val="810"/>
              <w:jc w:val="center"/>
              <w:rPr>
                <w:sz w:val="24"/>
              </w:rPr>
            </w:pPr>
          </w:p>
        </w:tc>
        <w:tc>
          <w:tcPr>
            <w:tcW w:w="2861" w:type="dxa"/>
            <w:tcBorders>
              <w:top w:val="single" w:sz="6" w:space="0" w:color="auto"/>
              <w:left w:val="single" w:sz="6" w:space="0" w:color="auto"/>
              <w:bottom w:val="single" w:sz="12" w:space="0" w:color="auto"/>
              <w:right w:val="single" w:sz="6" w:space="0" w:color="auto"/>
            </w:tcBorders>
            <w:noWrap/>
            <w:vAlign w:val="center"/>
          </w:tcPr>
          <w:p>
            <w:pPr>
              <w:pStyle w:val="710"/>
              <w:jc w:val="left"/>
              <w:rPr>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noWrap/>
            <w:vAlign w:val="center"/>
          </w:tcPr>
          <w:p>
            <w:pPr>
              <w:pStyle w:val="610"/>
              <w:rPr>
                <w:sz w:val="24"/>
              </w:rPr>
            </w:pPr>
          </w:p>
        </w:tc>
        <w:tc>
          <w:tcPr>
            <w:tcW w:w="1080" w:type="dxa"/>
            <w:tcBorders>
              <w:top w:val="single" w:sz="6" w:space="0" w:color="auto"/>
              <w:left w:val="single" w:sz="6" w:space="0" w:color="auto"/>
              <w:bottom w:val="single" w:sz="12" w:space="0" w:color="auto"/>
              <w:right w:val="single" w:sz="6" w:space="0" w:color="auto"/>
            </w:tcBorders>
            <w:noWrap/>
            <w:vAlign w:val="center"/>
          </w:tcPr>
          <w:p>
            <w:pPr>
              <w:pStyle w:val="510"/>
              <w:rPr>
                <w:sz w:val="24"/>
              </w:rPr>
            </w:pPr>
          </w:p>
        </w:tc>
        <w:tc>
          <w:tcPr>
            <w:tcW w:w="853" w:type="dxa"/>
            <w:tcBorders>
              <w:top w:val="single" w:sz="6" w:space="0" w:color="auto"/>
              <w:left w:val="single" w:sz="6" w:space="0" w:color="auto"/>
              <w:bottom w:val="single" w:sz="12" w:space="0" w:color="auto"/>
              <w:right w:val="single" w:sz="6" w:space="0" w:color="auto"/>
            </w:tcBorders>
            <w:noWrap/>
            <w:vAlign w:val="center"/>
          </w:tcPr>
          <w:p>
            <w:pPr>
              <w:pStyle w:val="410"/>
              <w:rPr>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pStyle w:val="310"/>
              <w:rPr>
                <w:sz w:val="24"/>
              </w:rPr>
            </w:pPr>
          </w:p>
        </w:tc>
        <w:tc>
          <w:tcPr>
            <w:tcW w:w="1009" w:type="dxa"/>
            <w:tcBorders>
              <w:top w:val="single" w:sz="6" w:space="0" w:color="auto"/>
              <w:left w:val="single" w:sz="6" w:space="0" w:color="auto"/>
              <w:bottom w:val="single" w:sz="12" w:space="0" w:color="auto"/>
              <w:right w:val="single" w:sz="12" w:space="0" w:color="auto"/>
            </w:tcBorders>
            <w:noWrap/>
            <w:vAlign w:val="center"/>
          </w:tcPr>
          <w:p>
            <w:pPr>
              <w:pStyle w:val="2101"/>
              <w:rPr>
                <w:sz w:val="24"/>
              </w:rPr>
            </w:pPr>
          </w:p>
        </w:tc>
      </w:tr>
      <w:tr>
        <w:tblPrEx>
          <w:tblW w:w="5614" w:type="pct"/>
          <w:jc w:val="center"/>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noWrap/>
            <w:vAlign w:val="center"/>
          </w:tcPr>
          <w:p>
            <w:pPr>
              <w:pStyle w:val="110"/>
              <w:jc w:val="left"/>
              <w:rPr>
                <w:sz w:val="24"/>
              </w:rPr>
            </w:pPr>
            <w:r>
              <w:rPr>
                <w:sz w:val="24"/>
              </w:rPr>
              <w:t>特别说明事项：</w:t>
            </w:r>
          </w:p>
        </w:tc>
      </w:tr>
    </w:tbl>
    <w:p>
      <w:pPr>
        <w:spacing w:line="360" w:lineRule="auto"/>
        <w:rPr>
          <w:rFonts w:ascii="宋体"/>
          <w:sz w:val="22"/>
        </w:rPr>
      </w:pPr>
    </w:p>
    <w:p>
      <w:pPr>
        <w:spacing w:line="360" w:lineRule="auto"/>
        <w:rPr>
          <w:rFonts w:ascii="宋体"/>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Cs w:val="21"/>
          <w:u w:val="single"/>
        </w:rPr>
      </w:pPr>
    </w:p>
    <w:p>
      <w:pPr>
        <w:pStyle w:val="186910"/>
        <w:autoSpaceDN w:val="0"/>
        <w:spacing w:line="360" w:lineRule="auto"/>
        <w:rPr>
          <w:rFonts w:ascii="宋体" w:eastAsia="宋体"/>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一、投标人资格审查一览表</w:t>
      </w:r>
    </w:p>
    <w:p>
      <w:pPr>
        <w:pStyle w:val="183310"/>
        <w:spacing w:line="360" w:lineRule="auto"/>
        <w:ind w:firstLine="480" w:firstLineChars="200"/>
        <w:rPr>
          <w:rFonts w:ascii="Times New Roman" w:hAnsi="Times New Roman"/>
          <w:b/>
          <w:kern w:val="0"/>
          <w:sz w:val="24"/>
          <w:szCs w:val="21"/>
        </w:rPr>
      </w:pPr>
      <w:r>
        <w:rPr>
          <w:rFonts w:ascii="Times New Roman" w:hAnsi="Times New Roman" w:hint="eastAsia"/>
          <w:b/>
          <w:kern w:val="0"/>
          <w:sz w:val="24"/>
          <w:szCs w:val="21"/>
        </w:rPr>
        <w:t>投标人承诺：本投标人具备《政府采购法》第二十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87"/>
          <w:jc w:val="left"/>
        </w:trPr>
        <w:tc>
          <w:tcPr>
            <w:tcW w:w="774" w:type="dxa"/>
            <w:noWrap/>
            <w:vAlign w:val="center"/>
          </w:tcPr>
          <w:p>
            <w:pPr>
              <w:pStyle w:val="234"/>
              <w:jc w:val="center"/>
            </w:pPr>
            <w:r>
              <w:rPr>
                <w:rFonts w:hint="eastAsia"/>
              </w:rPr>
              <w:t>序号</w:t>
            </w:r>
          </w:p>
        </w:tc>
        <w:tc>
          <w:tcPr>
            <w:tcW w:w="7354" w:type="dxa"/>
            <w:noWrap/>
            <w:vAlign w:val="center"/>
          </w:tcPr>
          <w:p>
            <w:pPr>
              <w:pStyle w:val="234"/>
              <w:jc w:val="center"/>
            </w:pPr>
            <w:r>
              <w:t>内容</w:t>
            </w:r>
          </w:p>
        </w:tc>
        <w:tc>
          <w:tcPr>
            <w:tcW w:w="1260" w:type="dxa"/>
            <w:noWrap/>
            <w:vAlign w:val="center"/>
          </w:tcPr>
          <w:p>
            <w:pPr>
              <w:pStyle w:val="234"/>
              <w:jc w:val="center"/>
            </w:pPr>
            <w:r>
              <w:rPr>
                <w:rFonts w:hint="eastAsia"/>
              </w:rPr>
              <w:t>投标人承诺</w:t>
            </w:r>
            <w:r>
              <w:t>（是/否）</w:t>
            </w: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rPr>
                <w:rFonts w:hint="eastAsia"/>
              </w:rPr>
              <w:t>1</w:t>
            </w:r>
          </w:p>
        </w:tc>
        <w:tc>
          <w:tcPr>
            <w:tcW w:w="7354" w:type="dxa"/>
            <w:noWrap/>
            <w:vAlign w:val="center"/>
          </w:tcPr>
          <w:p>
            <w:pPr>
              <w:pStyle w:val="234"/>
            </w:pPr>
            <w:r>
              <w:rPr>
                <w:rFonts w:hint="eastAsia"/>
              </w:rPr>
              <w:t>具有有效的营业执照或事业单位法人或自然人的身份证明</w:t>
            </w:r>
          </w:p>
        </w:tc>
        <w:tc>
          <w:tcPr>
            <w:tcW w:w="1260" w:type="dxa"/>
            <w:noWrap/>
            <w:vAlign w:val="center"/>
          </w:tcPr>
          <w:p>
            <w:pPr>
              <w:pStyle w:val="234"/>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rPr>
                <w:rFonts w:hint="eastAsia"/>
              </w:rPr>
              <w:t>2</w:t>
            </w:r>
          </w:p>
        </w:tc>
        <w:tc>
          <w:tcPr>
            <w:tcW w:w="7354" w:type="dxa"/>
            <w:noWrap/>
            <w:vAlign w:val="center"/>
          </w:tcPr>
          <w:p>
            <w:pPr>
              <w:pStyle w:val="234"/>
            </w:pPr>
            <w:r>
              <w:rPr>
                <w:rFonts w:hint="eastAsia"/>
              </w:rPr>
              <w:t>具有</w:t>
            </w:r>
            <w:r>
              <w:t>良好的商业信誉</w:t>
            </w:r>
          </w:p>
        </w:tc>
        <w:tc>
          <w:tcPr>
            <w:tcW w:w="1260" w:type="dxa"/>
            <w:noWrap/>
            <w:vAlign w:val="center"/>
          </w:tcPr>
          <w:p>
            <w:pPr>
              <w:pStyle w:val="234"/>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rPr>
                <w:rFonts w:hint="eastAsia"/>
              </w:rPr>
              <w:t>3</w:t>
            </w:r>
          </w:p>
        </w:tc>
        <w:tc>
          <w:tcPr>
            <w:tcW w:w="7354" w:type="dxa"/>
            <w:noWrap/>
            <w:vAlign w:val="center"/>
          </w:tcPr>
          <w:p>
            <w:pPr>
              <w:pStyle w:val="234"/>
            </w:pPr>
            <w:r>
              <w:rPr>
                <w:rFonts w:hint="eastAsia"/>
              </w:rPr>
              <w:t>具有依法缴纳</w:t>
            </w:r>
            <w:r>
              <w:t>税收</w:t>
            </w:r>
            <w:r>
              <w:rPr>
                <w:rFonts w:hint="eastAsia"/>
              </w:rPr>
              <w:t>和社会保障资金的良好记录</w:t>
            </w:r>
          </w:p>
        </w:tc>
        <w:tc>
          <w:tcPr>
            <w:tcW w:w="1260" w:type="dxa"/>
            <w:noWrap/>
            <w:vAlign w:val="center"/>
          </w:tcPr>
          <w:p>
            <w:pPr>
              <w:pStyle w:val="234"/>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t>4</w:t>
            </w:r>
          </w:p>
        </w:tc>
        <w:tc>
          <w:tcPr>
            <w:tcW w:w="7354" w:type="dxa"/>
            <w:noWrap/>
            <w:vAlign w:val="center"/>
          </w:tcPr>
          <w:p>
            <w:pPr>
              <w:pStyle w:val="73"/>
            </w:pPr>
            <w:r>
              <w:rPr>
                <w:szCs w:val="21"/>
              </w:rPr>
              <w:t>具有健全的财务会计制度</w:t>
            </w:r>
          </w:p>
        </w:tc>
        <w:tc>
          <w:tcPr>
            <w:tcW w:w="1260" w:type="dxa"/>
            <w:tcBorders>
              <w:right w:val="single" w:sz="4" w:space="0" w:color="auto"/>
            </w:tcBorders>
            <w:noWrap/>
            <w:vAlign w:val="center"/>
          </w:tcPr>
          <w:p>
            <w:pPr>
              <w:pStyle w:val="234"/>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t>5</w:t>
            </w:r>
          </w:p>
        </w:tc>
        <w:tc>
          <w:tcPr>
            <w:tcW w:w="7354" w:type="dxa"/>
            <w:noWrap/>
            <w:vAlign w:val="center"/>
          </w:tcPr>
          <w:p>
            <w:pPr>
              <w:pStyle w:val="234"/>
            </w:pPr>
            <w:r>
              <w:rPr>
                <w:rFonts w:hint="eastAsia"/>
                <w:bCs/>
              </w:rPr>
              <w:t>在参加政府采购活动前三年内，在经营活动中没有重大违法记录</w:t>
            </w:r>
          </w:p>
        </w:tc>
        <w:tc>
          <w:tcPr>
            <w:tcW w:w="1260" w:type="dxa"/>
            <w:tcBorders>
              <w:right w:val="single" w:sz="4" w:space="0" w:color="auto"/>
            </w:tcBorders>
            <w:noWrap/>
            <w:vAlign w:val="center"/>
          </w:tcPr>
          <w:p>
            <w:pPr>
              <w:pStyle w:val="234"/>
              <w:jc w:val="center"/>
              <w:rPr>
                <w:highlight w:val="yellow"/>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noWrap/>
            <w:vAlign w:val="center"/>
          </w:tcPr>
          <w:p>
            <w:pPr>
              <w:pStyle w:val="234"/>
              <w:jc w:val="center"/>
            </w:pPr>
            <w:r>
              <w:t>6</w:t>
            </w:r>
          </w:p>
        </w:tc>
        <w:tc>
          <w:tcPr>
            <w:tcW w:w="7354" w:type="dxa"/>
            <w:noWrap/>
            <w:vAlign w:val="center"/>
          </w:tcPr>
          <w:p>
            <w:pPr>
              <w:pStyle w:val="234"/>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noWrap/>
            <w:vAlign w:val="center"/>
          </w:tcPr>
          <w:p>
            <w:pPr>
              <w:pStyle w:val="234"/>
              <w:jc w:val="center"/>
              <w:rPr>
                <w:highlight w:val="yellow"/>
              </w:rPr>
            </w:pPr>
          </w:p>
        </w:tc>
      </w:tr>
    </w:tbl>
    <w:p>
      <w:pPr>
        <w:pStyle w:val="87"/>
        <w:spacing w:line="400" w:lineRule="exact"/>
        <w:ind w:left="1046" w:right="932" w:leftChars="498" w:rightChars="444"/>
        <w:rPr>
          <w:rFonts w:ascii="微软雅黑" w:eastAsia="微软雅黑" w:cs="微软雅黑"/>
          <w:sz w:val="21"/>
          <w:szCs w:val="21"/>
        </w:rPr>
      </w:pPr>
    </w:p>
    <w:p>
      <w:pPr>
        <w:pStyle w:val="87"/>
        <w:spacing w:line="400" w:lineRule="exact"/>
        <w:ind w:left="1046" w:right="932" w:leftChars="498" w:rightChars="444"/>
        <w:rPr>
          <w:rFonts w:ascii="Times New Roman" w:hAnsi="Times New Roman" w:cs="微软雅黑"/>
          <w:szCs w:val="24"/>
        </w:rPr>
      </w:pPr>
      <w:r>
        <w:rPr>
          <w:rFonts w:ascii="微软雅黑" w:eastAsia="微软雅黑" w:cs="微软雅黑" w:hint="eastAsia"/>
          <w:sz w:val="21"/>
          <w:szCs w:val="21"/>
        </w:rPr>
        <w:t xml:space="preserve">                                   </w:t>
      </w:r>
      <w:r>
        <w:rPr>
          <w:rFonts w:ascii="Times New Roman" w:hAnsi="Times New Roman" w:cs="微软雅黑" w:hint="eastAsia"/>
          <w:szCs w:val="24"/>
        </w:rPr>
        <w:t>投标人名称（</w:t>
      </w:r>
      <w:r>
        <w:rPr>
          <w:rFonts w:ascii="Times New Roman" w:hAnsi="Times New Roman" w:cs="微软雅黑"/>
          <w:szCs w:val="24"/>
        </w:rPr>
        <w:t>电子签章</w:t>
      </w:r>
      <w:r>
        <w:rPr>
          <w:rFonts w:ascii="Times New Roman" w:hAnsi="Times New Roman" w:cs="微软雅黑" w:hint="eastAsia"/>
          <w:szCs w:val="24"/>
        </w:rPr>
        <w:t>）：</w:t>
      </w:r>
    </w:p>
    <w:p>
      <w:pPr>
        <w:pStyle w:val="87"/>
        <w:spacing w:line="400" w:lineRule="exact"/>
        <w:ind w:left="1046" w:right="932" w:leftChars="498" w:rightChars="444"/>
        <w:rPr>
          <w:rFonts w:ascii="Times New Roman" w:hAnsi="Times New Roman" w:cs="微软雅黑"/>
          <w:szCs w:val="24"/>
        </w:rPr>
      </w:pPr>
      <w:r>
        <w:rPr>
          <w:rFonts w:ascii="Times New Roman" w:hAnsi="Times New Roman" w:cs="微软雅黑" w:hint="eastAsia"/>
          <w:szCs w:val="24"/>
        </w:rPr>
        <w:t xml:space="preserve">                                日期： 年  月  日</w:t>
      </w:r>
    </w:p>
    <w:p>
      <w:pPr>
        <w:pStyle w:val="87"/>
        <w:spacing w:line="400" w:lineRule="exact"/>
        <w:ind w:left="1046" w:right="932" w:leftChars="498" w:rightChars="444"/>
        <w:rPr>
          <w:rFonts w:ascii="微软雅黑" w:eastAsia="微软雅黑" w:cs="微软雅黑"/>
          <w:sz w:val="21"/>
          <w:szCs w:val="21"/>
        </w:rPr>
      </w:pPr>
      <w:r>
        <w:rPr>
          <w:rFonts w:ascii="微软雅黑" w:eastAsia="微软雅黑" w:cs="微软雅黑" w:hint="eastAsia"/>
          <w:sz w:val="21"/>
          <w:szCs w:val="21"/>
        </w:rPr>
        <w:t>注：①投标人在提交投标文件时，应按照投标工具的提示和流程编制并上传该表。无此表或对此表作实质性修改，投标无效。</w:t>
      </w:r>
    </w:p>
    <w:p>
      <w:pPr>
        <w:pStyle w:val="87"/>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②投标人须对此表中全部内容作出承诺，否则投标无效。</w:t>
      </w:r>
    </w:p>
    <w:p>
      <w:pPr>
        <w:pStyle w:val="87"/>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③采购人或采购机构可以根据此表查询投标人承诺事项，投标人的承诺和查询结果不一致的，以查询结果为准。</w:t>
      </w:r>
    </w:p>
    <w:p>
      <w:pPr>
        <w:pStyle w:val="87"/>
        <w:ind w:left="1046" w:right="932" w:leftChars="498" w:rightChars="444"/>
        <w:sectPr>
          <w:pgSz w:w="11907" w:h="16840"/>
          <w:pgMar w:top="1440" w:right="1797" w:bottom="1440" w:left="1797" w:header="720" w:footer="720" w:gutter="0"/>
          <w:cols w:space="720"/>
          <w:docGrid w:linePitch="312" w:charSpace="0"/>
        </w:sectPr>
      </w:pPr>
      <w:r>
        <w:rPr>
          <w:rFonts w:ascii="Times New Roman" w:hAnsi="Times New Roman" w:cs="微软雅黑" w:hint="eastAsia"/>
          <w:b/>
          <w:szCs w:val="21"/>
        </w:rPr>
        <w:t>二、联合体投标协议书扫描件</w:t>
      </w:r>
      <w:r>
        <w:rPr>
          <w:rFonts w:ascii="微软雅黑" w:eastAsia="微软雅黑" w:cs="微软雅黑" w:hint="eastAsia"/>
          <w:b/>
          <w:sz w:val="21"/>
          <w:szCs w:val="21"/>
        </w:rPr>
        <w:t>（如投标人须知前附表允许联合体投标且投标人是联合体的上传）</w:t>
      </w:r>
    </w:p>
    <w:p/>
    <w:p>
      <w:pPr>
        <w:pStyle w:val="210"/>
        <w:keepNext w:val="0"/>
        <w:keepLines w:val="0"/>
        <w:widowControl w:val="0"/>
        <w:autoSpaceDN w:val="0"/>
        <w:spacing w:before="0" w:after="0" w:line="360" w:lineRule="auto"/>
        <w:jc w:val="center"/>
        <w:outlineLvl w:val="9"/>
        <w:rPr>
          <w:rFonts w:ascii="宋体" w:eastAsia="宋体"/>
          <w:szCs w:val="32"/>
          <w:lang w:eastAsia="zh-CN"/>
        </w:rPr>
      </w:pPr>
      <w:bookmarkStart w:id="88" w:name="_Toc485990833"/>
      <w:bookmarkStart w:id="89" w:name="_Toc499068169"/>
      <w:bookmarkStart w:id="90" w:name="_Toc46196323"/>
      <w:r>
        <w:rPr>
          <w:rFonts w:ascii="宋体" w:eastAsia="宋体" w:hint="eastAsia"/>
          <w:szCs w:val="32"/>
          <w:lang w:eastAsia="zh-CN"/>
        </w:rPr>
        <w:t>投标函</w:t>
      </w:r>
      <w:bookmarkEnd w:id="88"/>
      <w:bookmarkEnd w:id="89"/>
      <w:bookmarkEnd w:id="90"/>
      <w:r>
        <w:rPr>
          <w:rFonts w:ascii="宋体" w:eastAsia="宋体" w:hint="eastAsia"/>
          <w:szCs w:val="32"/>
          <w:lang w:eastAsia="zh-CN"/>
        </w:rPr>
        <w:t>格式</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海关总署物资装备采购中心：</w:t>
      </w:r>
    </w:p>
    <w:p>
      <w:pPr>
        <w:pStyle w:val="8"/>
        <w:autoSpaceDN w:val="0"/>
        <w:spacing w:line="360" w:lineRule="auto"/>
        <w:ind w:firstLine="480" w:firstLineChars="200"/>
        <w:rPr>
          <w:rFonts w:ascii="宋体" w:eastAsia="宋体"/>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邮编：____________　</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电话：____________　</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传真：____________</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姓名：</w:t>
      </w:r>
      <w:r>
        <w:rPr>
          <w:rFonts w:ascii="宋体" w:eastAsia="宋体" w:hint="eastAsia"/>
          <w:sz w:val="24"/>
          <w:szCs w:val="24"/>
          <w:highlight w:val="white"/>
          <w:u w:val="single"/>
          <w:lang w:eastAsia="zh-CN"/>
        </w:rPr>
        <w:t xml:space="preserve">              </w:t>
      </w:r>
    </w:p>
    <w:p>
      <w:pPr>
        <w:pStyle w:val="8"/>
        <w:autoSpaceDN w:val="0"/>
        <w:spacing w:line="360" w:lineRule="auto"/>
        <w:rPr>
          <w:rFonts w:ascii="宋体" w:eastAsia="宋体"/>
          <w:sz w:val="24"/>
          <w:szCs w:val="24"/>
          <w:highlight w:val="white"/>
          <w:u w:val="singl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
        <w:autoSpaceDN w:val="0"/>
        <w:spacing w:line="360" w:lineRule="auto"/>
        <w:rPr>
          <w:rFonts w:ascii="宋体" w:eastAsia="宋体"/>
          <w:sz w:val="24"/>
          <w:szCs w:val="24"/>
          <w:highlight w:val="white"/>
          <w:lang w:eastAsia="zh-CN"/>
        </w:rPr>
      </w:pP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投标人代表</w:t>
      </w:r>
      <w:r>
        <w:rPr>
          <w:rFonts w:ascii="宋体" w:eastAsia="宋体" w:hint="eastAsia"/>
          <w:sz w:val="24"/>
          <w:szCs w:val="24"/>
          <w:lang w:eastAsia="zh-CN"/>
        </w:rPr>
        <w:t>/法定代表人</w:t>
      </w:r>
      <w:r>
        <w:rPr>
          <w:rFonts w:ascii="宋体" w:eastAsia="宋体" w:hint="eastAsia"/>
          <w:sz w:val="24"/>
          <w:szCs w:val="24"/>
          <w:highlight w:val="white"/>
          <w:lang w:eastAsia="zh-CN"/>
        </w:rPr>
        <w:t>(签字)：</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　期：</w:t>
      </w:r>
    </w:p>
    <w:p>
      <w:pPr>
        <w:pStyle w:val="8"/>
        <w:autoSpaceDN w:val="0"/>
        <w:spacing w:line="360" w:lineRule="auto"/>
        <w:rPr>
          <w:rFonts w:ascii="宋体" w:eastAsia="宋体"/>
          <w:sz w:val="24"/>
          <w:szCs w:val="24"/>
          <w:highlight w:val="white"/>
          <w:lang w:eastAsia="zh-CN"/>
        </w:rPr>
      </w:pP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注：除可填报项目外，对本投标函的任何修改将被视为非实质性响应投标，从而导致该投标被拒绝。</w:t>
      </w:r>
    </w:p>
    <w:p/>
    <w:p>
      <w:pPr>
        <w:pStyle w:val="187010"/>
        <w:autoSpaceDN w:val="0"/>
        <w:jc w:val="center"/>
        <w:rPr>
          <w:rFonts w:ascii="宋体" w:eastAsia="宋体"/>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sz w:val="24"/>
          <w:szCs w:val="24"/>
          <w:highlight w:val="white"/>
          <w:lang w:eastAsia="zh-CN"/>
        </w:rPr>
      </w:pPr>
    </w:p>
    <w:p>
      <w:pPr>
        <w:pStyle w:val="187010"/>
        <w:autoSpaceDN w:val="0"/>
        <w:spacing w:line="360" w:lineRule="auto"/>
        <w:ind w:firstLine="480" w:firstLineChars="200"/>
        <w:rPr>
          <w:rFonts w:ascii="宋体" w:eastAsia="宋体"/>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sz w:val="32"/>
          <w:szCs w:val="24"/>
          <w:highlight w:val="white"/>
          <w:lang w:eastAsia="zh-CN"/>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
      <w:pPr>
        <w:pStyle w:val="8"/>
        <w:autoSpaceDN w:val="0"/>
        <w:jc w:val="center"/>
        <w:rPr>
          <w:rFonts w:ascii="宋体" w:eastAsia="宋体"/>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
              <w:autoSpaceDN w:val="0"/>
              <w:rPr>
                <w:rFonts w:ascii="宋体" w:eastAsia="宋体"/>
                <w:sz w:val="24"/>
                <w:szCs w:val="24"/>
                <w:highlight w:val="white"/>
              </w:rPr>
            </w:pPr>
          </w:p>
        </w:tc>
      </w:tr>
    </w:tbl>
    <w:p>
      <w:pPr>
        <w:pStyle w:val="8"/>
        <w:autoSpaceDN w:val="0"/>
        <w:rPr>
          <w:rFonts w:ascii="宋体" w:eastAsia="宋体"/>
          <w:sz w:val="24"/>
          <w:szCs w:val="24"/>
          <w:highlight w:val="white"/>
        </w:rPr>
      </w:pPr>
      <w:r>
        <w:rPr>
          <w:rFonts w:ascii="宋体" w:eastAsia="宋体" w:hint="eastAsia"/>
          <w:sz w:val="24"/>
          <w:szCs w:val="24"/>
          <w:highlight w:val="white"/>
        </w:rPr>
        <w:t xml:space="preserve">    </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Pr>
        <w:pStyle w:val="8"/>
        <w:autoSpaceDN w:val="0"/>
        <w:rPr>
          <w:rFonts w:ascii="宋体" w:eastAsia="宋体"/>
          <w:sz w:val="24"/>
          <w:szCs w:val="24"/>
          <w:highlight w:val="white"/>
          <w:lang w:eastAsia="zh-CN"/>
        </w:rPr>
      </w:pPr>
    </w:p>
    <w:p>
      <w:pPr>
        <w:pStyle w:val="8"/>
        <w:autoSpaceDN w:val="0"/>
        <w:rPr>
          <w:rFonts w:ascii="宋体" w:eastAsia="宋体"/>
          <w:sz w:val="24"/>
          <w:szCs w:val="24"/>
          <w:highlight w:val="white"/>
          <w:lang w:eastAsia="zh-CN"/>
        </w:rPr>
      </w:pPr>
      <w:r>
        <w:rPr>
          <w:rFonts w:ascii="宋体" w:eastAsia="宋体" w:hint="eastAsia"/>
          <w:sz w:val="24"/>
          <w:szCs w:val="24"/>
          <w:highlight w:val="white"/>
          <w:lang w:eastAsia="zh-CN"/>
        </w:rPr>
        <w:t>注：</w:t>
      </w:r>
    </w:p>
    <w:p>
      <w:pPr>
        <w:pStyle w:val="8"/>
        <w:autoSpaceDN w:val="0"/>
        <w:rPr>
          <w:rFonts w:ascii="宋体" w:eastAsia="宋体"/>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
        <w:autoSpaceDN w:val="0"/>
        <w:rPr>
          <w:rFonts w:ascii="宋体" w:eastAsia="宋体"/>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b/>
          <w:color w:val="000000"/>
          <w:szCs w:val="24"/>
        </w:rPr>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
      <w:pPr>
        <w:pStyle w:val="210"/>
        <w:keepNext w:val="0"/>
        <w:keepLines w:val="0"/>
        <w:widowControl w:val="0"/>
        <w:autoSpaceDN w:val="0"/>
        <w:spacing w:line="240" w:lineRule="auto"/>
        <w:jc w:val="center"/>
        <w:outlineLvl w:val="9"/>
        <w:rPr>
          <w:rFonts w:ascii="宋体" w:eastAsia="宋体"/>
          <w:szCs w:val="32"/>
          <w:lang w:eastAsia="zh-CN"/>
        </w:rPr>
      </w:pPr>
      <w:r>
        <w:rPr>
          <w:rFonts w:ascii="宋体" w:eastAsia="宋体" w:hint="eastAsia"/>
          <w:szCs w:val="32"/>
          <w:lang w:eastAsia="zh-CN"/>
        </w:rPr>
        <w:t>残疾人福利性单位声明函格式</w:t>
      </w:r>
    </w:p>
    <w:p>
      <w:pPr>
        <w:pStyle w:val="8"/>
        <w:autoSpaceDN w:val="0"/>
        <w:spacing w:line="360" w:lineRule="auto"/>
        <w:rPr>
          <w:rFonts w:ascii="宋体" w:eastAsia="宋体"/>
          <w:sz w:val="24"/>
          <w:szCs w:val="24"/>
          <w:highlight w:val="white"/>
          <w:lang w:eastAsia="zh-CN"/>
        </w:rPr>
      </w:pPr>
    </w:p>
    <w:p>
      <w:pPr>
        <w:pStyle w:val="8"/>
        <w:autoSpaceDN w:val="0"/>
        <w:spacing w:line="360" w:lineRule="auto"/>
        <w:ind w:firstLine="480" w:firstLineChars="200"/>
        <w:rPr>
          <w:rFonts w:ascii="宋体" w:eastAsia="宋体"/>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
        <w:autoSpaceDN w:val="0"/>
        <w:spacing w:line="360" w:lineRule="auto"/>
        <w:rPr>
          <w:rFonts w:ascii="宋体" w:eastAsia="宋体"/>
          <w:sz w:val="24"/>
          <w:szCs w:val="24"/>
          <w:highlight w:val="white"/>
          <w:lang w:eastAsia="zh-CN"/>
        </w:rPr>
      </w:pPr>
    </w:p>
    <w:p>
      <w:pPr>
        <w:pStyle w:val="8"/>
        <w:autoSpaceDN w:val="0"/>
        <w:spacing w:line="360" w:lineRule="auto"/>
        <w:rPr>
          <w:rFonts w:ascii="宋体" w:eastAsia="宋体"/>
          <w:sz w:val="24"/>
          <w:szCs w:val="24"/>
          <w:highlight w:val="white"/>
          <w:lang w:eastAsia="zh-CN"/>
        </w:rPr>
      </w:pP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Pr>
        <w:pStyle w:val="8"/>
        <w:autoSpaceDN w:val="0"/>
        <w:spacing w:line="360" w:lineRule="auto"/>
        <w:rPr>
          <w:rFonts w:ascii="宋体" w:eastAsia="宋体"/>
          <w:sz w:val="24"/>
          <w:szCs w:val="24"/>
          <w:highlight w:val="white"/>
          <w:lang w:eastAsia="zh-CN"/>
        </w:rPr>
      </w:pPr>
    </w:p>
    <w:p>
      <w:pPr>
        <w:rPr>
          <w:color w:val="FF0000"/>
        </w:rPr>
      </w:pPr>
    </w:p>
    <w:p>
      <w:pPr>
        <w:pStyle w:val="187110"/>
        <w:autoSpaceDN w:val="0"/>
        <w:spacing w:line="360" w:lineRule="auto"/>
        <w:jc w:val="center"/>
        <w:rPr>
          <w:rFonts w:ascii="宋体" w:eastAsia="宋体"/>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tblW w:w="9116"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tblW w:w="9116"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84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78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72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66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60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195410"/>
              <w:jc w:val="center"/>
              <w:rPr>
                <w:rFonts w:ascii="Times New Roman" w:hAnsi="Times New Roman"/>
                <w:sz w:val="24"/>
                <w:szCs w:val="24"/>
              </w:rPr>
            </w:pPr>
          </w:p>
        </w:tc>
      </w:tr>
      <w:tr>
        <w:tblPrEx>
          <w:tblW w:w="9116" w:type="dxa"/>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noWrap/>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noWrap/>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noWrap/>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noWrap/>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noWrap/>
            <w:vAlign w:val="center"/>
          </w:tcPr>
          <w:p>
            <w:pPr>
              <w:pStyle w:val="0"/>
              <w:jc w:val="center"/>
              <w:rPr>
                <w:rFonts w:ascii="Times New Roman" w:hAnsi="Times New Roman"/>
                <w:sz w:val="24"/>
                <w:szCs w:val="24"/>
              </w:rPr>
            </w:pPr>
          </w:p>
        </w:tc>
      </w:tr>
    </w:tbl>
    <w:p>
      <w:pPr>
        <w:pStyle w:val="187410"/>
        <w:autoSpaceDN w:val="0"/>
        <w:spacing w:line="360" w:lineRule="auto"/>
        <w:rPr>
          <w:rFonts w:ascii="宋体" w:eastAsia="宋体"/>
          <w:sz w:val="24"/>
          <w:szCs w:val="24"/>
          <w:lang w:eastAsia="zh-CN"/>
        </w:rPr>
      </w:pPr>
    </w:p>
    <w:p>
      <w:pPr>
        <w:pStyle w:val="187410"/>
        <w:rPr>
          <w:rFonts w:ascii="宋体" w:eastAsia="宋体"/>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firstLine="480" w:firstLineChars="200"/>
        <w:rPr>
          <w:rFonts w:ascii="宋体" w:eastAsia="宋体"/>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szCs w:val="24"/>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b/>
          <w:sz w:val="24"/>
          <w:lang w:eastAsia="zh-CN"/>
        </w:rPr>
      </w:pPr>
    </w:p>
    <w:p>
      <w:pPr>
        <w:pStyle w:val="187210"/>
        <w:autoSpaceDN w:val="0"/>
        <w:spacing w:line="360" w:lineRule="auto"/>
        <w:rPr>
          <w:rFonts w:ascii="宋体"/>
          <w:sz w:val="24"/>
          <w:szCs w:val="24"/>
          <w:lang w:eastAsia="zh-CN"/>
        </w:rPr>
      </w:pPr>
    </w:p>
    <w:p>
      <w:pPr>
        <w:pStyle w:val="189210"/>
        <w:autoSpaceDN w:val="0"/>
        <w:spacing w:line="360" w:lineRule="auto"/>
        <w:rPr>
          <w:rFonts w:ascii="宋体" w:eastAsia="宋体"/>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sz w:val="24"/>
          <w:szCs w:val="24"/>
          <w:lang w:eastAsia="zh-CN"/>
        </w:rPr>
      </w:pPr>
      <w:r>
        <w:rPr>
          <w:rFonts w:ascii="宋体" w:eastAsia="宋体" w:hint="eastAsia"/>
          <w:sz w:val="24"/>
          <w:szCs w:val="24"/>
          <w:lang w:eastAsia="zh-CN"/>
        </w:rPr>
        <w:t>投标人代表（签字）</w:t>
      </w:r>
    </w:p>
    <w:p>
      <w:r>
        <w:rPr>
          <w:rFonts w:ascii="宋体" w:hint="eastAsia"/>
          <w:sz w:val="24"/>
        </w:rPr>
        <w:t xml:space="preserve">日期：     </w:t>
      </w:r>
      <w:r>
        <w:rPr>
          <w:rFonts w:ascii="宋体" w:hint="eastAsia"/>
        </w:rPr>
        <w:t xml:space="preserve">                   </w:t>
      </w:r>
    </w:p>
    <w:p>
      <w:pPr>
        <w:pStyle w:val="210"/>
        <w:keepNext w:val="0"/>
        <w:keepLines w:val="0"/>
        <w:widowControl w:val="0"/>
        <w:autoSpaceDN w:val="0"/>
        <w:spacing w:before="0" w:after="0" w:line="360" w:lineRule="auto"/>
        <w:jc w:val="center"/>
        <w:outlineLvl w:val="9"/>
        <w:rPr>
          <w:rFonts w:ascii="宋体" w:eastAsia="宋体"/>
          <w:szCs w:val="32"/>
          <w:lang w:eastAsia="zh-CN"/>
        </w:rPr>
      </w:pPr>
      <w:r>
        <w:rPr>
          <w:rFonts w:ascii="宋体" w:eastAsia="宋体" w:hint="eastAsia"/>
          <w:szCs w:val="32"/>
          <w:lang w:eastAsia="zh-CN"/>
        </w:rPr>
        <w:t>技术偏离表格式</w:t>
      </w:r>
    </w:p>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
              <w:autoSpaceDN w:val="0"/>
              <w:jc w:val="center"/>
              <w:rPr>
                <w:rFonts w:ascii="宋体" w:eastAsia="宋体"/>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
              <w:autoSpaceDN w:val="0"/>
              <w:rPr>
                <w:rFonts w:ascii="宋体" w:eastAsia="宋体"/>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
              <w:autoSpaceDN w:val="0"/>
              <w:rPr>
                <w:rFonts w:ascii="宋体" w:eastAsia="宋体"/>
                <w:sz w:val="24"/>
                <w:szCs w:val="24"/>
                <w:highlight w:val="white"/>
              </w:rPr>
            </w:pPr>
          </w:p>
        </w:tc>
      </w:tr>
    </w:tbl>
    <w:p>
      <w:pPr>
        <w:pStyle w:val="8"/>
        <w:autoSpaceDN w:val="0"/>
        <w:rPr>
          <w:rFonts w:ascii="宋体" w:eastAsia="宋体"/>
          <w:sz w:val="24"/>
          <w:szCs w:val="24"/>
          <w:highlight w:val="white"/>
        </w:rPr>
      </w:pPr>
    </w:p>
    <w:p>
      <w:pPr>
        <w:pStyle w:val="8"/>
        <w:autoSpaceDN w:val="0"/>
        <w:spacing w:line="360" w:lineRule="auto"/>
        <w:rPr>
          <w:rFonts w:ascii="宋体" w:eastAsia="宋体"/>
          <w:sz w:val="24"/>
          <w:szCs w:val="24"/>
          <w:highlight w:val="white"/>
        </w:rPr>
      </w:pPr>
      <w:r>
        <w:rPr>
          <w:rFonts w:ascii="宋体" w:eastAsia="宋体" w:hint="eastAsia"/>
          <w:sz w:val="24"/>
          <w:szCs w:val="24"/>
          <w:highlight w:val="white"/>
        </w:rPr>
        <w:t>注：</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
        <w:autoSpaceDN w:val="0"/>
        <w:rPr>
          <w:rFonts w:ascii="宋体" w:eastAsia="宋体"/>
          <w:sz w:val="24"/>
          <w:szCs w:val="24"/>
          <w:highlight w:val="white"/>
          <w:lang w:eastAsia="zh-CN"/>
        </w:rPr>
      </w:pP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投标人名称(电子签章)：</w:t>
      </w: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w:t>
      </w:r>
    </w:p>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
              <w:rPr>
                <w:rFonts w:ascii="宋体"/>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
              <w:rPr>
                <w:rFonts w:ascii="宋体"/>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color w:val="000000"/>
          <w:sz w:val="22"/>
        </w:rPr>
      </w:pPr>
      <w:r>
        <w:rPr>
          <w:rFonts w:ascii="宋体" w:hint="eastAsia"/>
          <w:color w:val="000000"/>
          <w:sz w:val="22"/>
          <w:highlight w:val="white"/>
        </w:rPr>
        <w:t>注：</w:t>
      </w:r>
      <w:r>
        <w:rPr>
          <w:rFonts w:ascii="宋体" w:hint="eastAsia"/>
          <w:sz w:val="22"/>
          <w:highlight w:val="white"/>
        </w:rPr>
        <w:t>本表后应附</w:t>
      </w:r>
      <w:r>
        <w:rPr>
          <w:rFonts w:ascii="宋体" w:hint="eastAsia"/>
          <w:sz w:val="22"/>
        </w:rPr>
        <w:t>项目团队人员的从业人员资格证书以及上述员工距开标之日</w:t>
      </w:r>
      <w:r>
        <w:rPr>
          <w:rFonts w:ascii="宋体"/>
          <w:sz w:val="22"/>
        </w:rPr>
        <w:t>3</w:t>
      </w:r>
      <w:r>
        <w:rPr>
          <w:rFonts w:ascii="宋体" w:hint="eastAsia"/>
          <w:sz w:val="22"/>
        </w:rPr>
        <w:t>个月</w:t>
      </w:r>
      <w:r>
        <w:rPr>
          <w:rFonts w:ascii="宋体"/>
          <w:sz w:val="22"/>
        </w:rPr>
        <w:t>内</w:t>
      </w:r>
      <w:r>
        <w:rPr>
          <w:rFonts w:ascii="宋体" w:hint="eastAsia"/>
          <w:sz w:val="22"/>
        </w:rPr>
        <w:t>任意1个月的缴纳社保证明</w:t>
      </w:r>
      <w:r>
        <w:rPr>
          <w:rFonts w:ascii="宋体" w:hint="eastAsia"/>
          <w:color w:val="000000"/>
          <w:sz w:val="22"/>
        </w:rPr>
        <w:t>（未提供的不予认定）</w:t>
      </w:r>
      <w:r>
        <w:rPr>
          <w:rFonts w:ascii="宋体"/>
          <w:color w:val="000000"/>
          <w:sz w:val="22"/>
        </w:rPr>
        <w:t>。</w:t>
      </w:r>
      <w:r>
        <w:rPr>
          <w:rFonts w:ascii="宋体" w:hint="eastAsia"/>
          <w:color w:val="000000"/>
          <w:sz w:val="22"/>
        </w:rPr>
        <w:t xml:space="preserve"> </w:t>
      </w:r>
    </w:p>
    <w:p>
      <w:pPr>
        <w:pStyle w:val="5010"/>
        <w:rPr>
          <w:rFonts w:ascii="宋体"/>
          <w:color w:val="000000"/>
          <w:sz w:val="24"/>
        </w:rPr>
      </w:pPr>
    </w:p>
    <w:p>
      <w:pPr>
        <w:pStyle w:val="5010"/>
        <w:rPr>
          <w:rFonts w:ascii="宋体"/>
          <w:color w:val="000000"/>
          <w:sz w:val="24"/>
          <w:highlight w:val="white"/>
        </w:rPr>
      </w:pPr>
    </w:p>
    <w:p>
      <w:pPr>
        <w:pStyle w:val="2410"/>
        <w:rPr>
          <w:rFonts w:ascii="宋体"/>
          <w:highlight w:val="white"/>
          <w:lang w:eastAsia="zh-CN"/>
        </w:rPr>
      </w:pPr>
    </w:p>
    <w:p>
      <w:pPr>
        <w:rPr>
          <w:rFonts w:ascii="宋体"/>
          <w:highlight w:val="white"/>
        </w:rPr>
      </w:pPr>
    </w:p>
    <w:p>
      <w:pPr>
        <w:rPr>
          <w:rFonts w:ascii="宋体"/>
          <w:highlight w:val="white"/>
        </w:rPr>
      </w:pPr>
    </w:p>
    <w:p>
      <w:pPr>
        <w:rPr>
          <w:rFonts w:ascii="宋体"/>
          <w:highlight w:val="white"/>
        </w:rPr>
      </w:pPr>
    </w:p>
    <w:p>
      <w:pPr>
        <w:rPr>
          <w:rFonts w:ascii="宋体"/>
          <w:highlight w:val="white"/>
        </w:rPr>
      </w:pPr>
    </w:p>
    <w:p>
      <w:pPr>
        <w:pStyle w:val="5010"/>
        <w:rPr>
          <w:rFonts w:ascii="宋体"/>
          <w:color w:val="000000"/>
          <w:sz w:val="24"/>
          <w:highlight w:val="white"/>
        </w:rPr>
      </w:pPr>
    </w:p>
    <w:p>
      <w:pPr>
        <w:pStyle w:val="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rPr>
          <w:rFonts w:ascii="宋体"/>
          <w:sz w:val="24"/>
          <w:szCs w:val="24"/>
        </w:rPr>
      </w:pPr>
      <w:r>
        <w:rPr>
          <w:rFonts w:ascii="宋体" w:hint="eastAsia"/>
          <w:sz w:val="24"/>
          <w:szCs w:val="24"/>
          <w:highlight w:val="white"/>
        </w:rPr>
        <w:t>日期：</w:t>
      </w:r>
      <w:r>
        <w:rPr>
          <w:rFonts w:ascii="宋体" w:hint="eastAsia"/>
          <w:sz w:val="24"/>
          <w:szCs w:val="24"/>
        </w:rPr>
        <w:t xml:space="preserve"> </w:t>
      </w:r>
    </w:p>
    <w:p/>
    <w:p>
      <w:pPr>
        <w:pStyle w:val="70"/>
        <w:keepNext w:val="0"/>
        <w:keepLines w:val="0"/>
        <w:widowControl w:val="0"/>
        <w:autoSpaceDN w:val="0"/>
        <w:spacing w:before="0" w:after="0" w:line="360" w:lineRule="auto"/>
        <w:jc w:val="center"/>
        <w:outlineLvl w:val="9"/>
        <w:rPr>
          <w:rFonts w:ascii="宋体" w:eastAsia="宋体"/>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sz w:val="24"/>
          <w:szCs w:val="24"/>
          <w:highlight w:val="white"/>
          <w:lang w:eastAsia="zh-CN"/>
        </w:rPr>
      </w:pP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sz w:val="24"/>
          <w:szCs w:val="24"/>
          <w:highlight w:val="white"/>
          <w:lang w:eastAsia="zh-CN"/>
        </w:rPr>
      </w:pPr>
    </w:p>
    <w:p>
      <w:pPr>
        <w:pStyle w:val="187710"/>
        <w:autoSpaceDN w:val="0"/>
        <w:adjustRightInd w:val="0"/>
        <w:snapToGrid w:val="0"/>
        <w:spacing w:line="360" w:lineRule="auto"/>
        <w:rPr>
          <w:rFonts w:ascii="宋体" w:eastAsia="宋体"/>
          <w:sz w:val="24"/>
          <w:szCs w:val="24"/>
          <w:highlight w:val="white"/>
          <w:lang w:eastAsia="zh-CN"/>
        </w:rPr>
      </w:pPr>
    </w:p>
    <w:p>
      <w:pPr>
        <w:pStyle w:val="187710"/>
        <w:autoSpaceDN w:val="0"/>
        <w:adjustRightInd w:val="0"/>
        <w:snapToGrid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sz w:val="24"/>
          <w:szCs w:val="24"/>
          <w:highlight w:val="white"/>
          <w:lang w:eastAsia="zh-CN"/>
        </w:rPr>
      </w:pP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6"/>
        <w:keepNext w:val="0"/>
        <w:keepLines w:val="0"/>
        <w:widowControl w:val="0"/>
        <w:autoSpaceDN w:val="0"/>
        <w:spacing w:before="0" w:after="0" w:line="360" w:lineRule="auto"/>
        <w:jc w:val="center"/>
        <w:outlineLvl w:val="9"/>
        <w:rPr>
          <w:rFonts w:ascii="宋体" w:eastAsia="宋体"/>
          <w:szCs w:val="32"/>
          <w:lang w:eastAsia="zh-CN"/>
        </w:rPr>
      </w:pPr>
      <w:bookmarkEnd w:id="87"/>
    </w:p>
    <w:p/>
    <w:sectPr>
      <w:headerReference w:type="even" r:id="rId13"/>
      <w:headerReference w:type="default" r:id="rId14"/>
      <w:footerReference w:type="even" r:id="rId15"/>
      <w:headerReference w:type="first" r:id="rId16"/>
      <w:footerReference w:type="first" r:id="rId17"/>
      <w:pgSz w:w="11907" w:h="16840"/>
      <w:pgMar w:top="1440" w:right="1797" w:bottom="1440" w:left="1797" w:header="851" w:footer="851" w:gutter="0"/>
      <w:cols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altName w:val="바탕"/>
    <w:panose1 w:val="02030600000101010101"/>
    <w:charset w:val="81"/>
    <w:family w:val="roman"/>
    <w:pitch w:val="variable"/>
    <w:sig w:usb0="B00002AF" w:usb1="69D77CFB" w:usb2="00000030" w:usb3="00000000" w:csb0="0008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Wingdings 2">
    <w:panose1 w:val="05020102010507070707"/>
    <w:charset w:val="02"/>
    <w:family w:val="roman"/>
    <w:pitch w:val="variable"/>
    <w:sig w:usb0="00000000" w:usb1="10000000" w:usb2="00000000" w:usb3="00000000" w:csb0="80000001" w:csb1="00000000"/>
  </w:font>
  <w:font w:name="微软雅黑">
    <w:panose1 w:val="020B0503020204020204"/>
    <w:charset w:val="86"/>
    <w:family w:val="swiss"/>
    <w:pitch w:val="variable"/>
    <w:sig w:usb0="80000287" w:usb1="280F3C52" w:usb2="00000016" w:usb3="00000000" w:csb0="0004001F" w:csb1="00000000"/>
  </w:font>
  <w:font w:name="方正仿宋_GBK">
    <w:altName w:val="微软雅黑"/>
    <w:panose1 w:val="03000509000000000000"/>
    <w:charset w:val="86"/>
    <w:family w:val="script"/>
    <w:pitch w:val="variable"/>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仿宋">
    <w:panose1 w:val="02010609060101010101"/>
    <w:charset w:val="86"/>
    <w:family w:val="modern"/>
    <w:pitch w:val="variable"/>
    <w:sig w:usb0="800002BF" w:usb1="38CF7CFA" w:usb2="00000016" w:usb3="00000000" w:csb0="00040001" w:csb1="00000000"/>
  </w:font>
  <w:font w:name="黑体">
    <w:altName w:val="SimHei"/>
    <w:panose1 w:val="02010609060101010101"/>
    <w:charset w:val="86"/>
    <w:family w:val="modern"/>
    <w:pitch w:val="variable"/>
    <w:sig w:usb0="800002BF" w:usb1="38CF7CFA" w:usb2="00000016" w:usb3="00000000" w:csb0="00040001" w:csb1="00000000"/>
  </w:font>
  <w:font w:name="方正小标宋_GBK">
    <w:altName w:val="微软雅黑"/>
    <w:panose1 w:val="03000509000000000000"/>
    <w:charset w:val="86"/>
    <w:family w:val="script"/>
    <w:pitch w:val="variable"/>
    <w:sig w:usb0="00000001" w:usb1="080E0000" w:usb2="00000010" w:usb3="00000000" w:csb0="00040000" w:csb1="00000000"/>
  </w:font>
  <w:font w:name="Times New Roman Regular">
    <w:altName w:val="Times New Roman"/>
    <w:panose1 w:val="00000000000000000000"/>
    <w:charset w:val="00"/>
    <w:family w:val="auto"/>
    <w:pitch w:val="variable"/>
    <w:sig w:usb0="E0000AFF" w:usb1="00007843" w:usb2="00000001" w:usb3="00000000" w:csb0="400001BF" w:csb1="DFF7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等线">
    <w:altName w:val="宋体"/>
    <w:panose1 w:val="00000000000000000000"/>
    <w:charset w:val="86"/>
    <w:family w:val="auto"/>
    <w:pitch w:val="variable"/>
    <w:sig w:usb0="00000000" w:usb1="00000000" w:usb2="00000000" w:usb3="00000000" w:csb0="00040001" w:csb1="00000000"/>
  </w:font>
  <w:font w:name="DejaVu Sans">
    <w:altName w:val="Segoe Script"/>
    <w:panose1 w:val="00000000000000000000"/>
    <w:charset w:val="00"/>
    <w:family w:val="auto"/>
    <w:pitch w:val="variable"/>
    <w:sig w:usb0="00000000" w:usb1="00000000" w:usb2="00000000" w:usb3="00000000" w:csb0="00000000" w:csb1="00000000"/>
  </w:font>
  <w:font w:name="Courier New">
    <w:panose1 w:val="02070309020205020404"/>
    <w:charset w:val="00"/>
    <w:family w:val="moder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Fonts w:ascii="Batang" w:eastAsia="Batang"/>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sz w:val="28"/>
        <w:szCs w:val="28"/>
      </w:rPr>
      <w:t>3</w:t>
    </w:r>
    <w:r>
      <w:rPr>
        <w:rStyle w:val="PageNumber"/>
        <w:rFonts w:ascii="Batang" w:eastAsia="Batang" w:hint="eastAsia"/>
        <w:sz w:val="28"/>
        <w:szCs w:val="28"/>
      </w:rPr>
      <w:fldChar w:fldCharType="end"/>
    </w:r>
  </w:p>
  <w:p>
    <w:pPr>
      <w:pStyle w:val="20"/>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1"/>
      <w:framePr w:w="0" w:h="0" w:hRule="auto" w:wrap="around" w:vAnchor="text" w:hAnchor="margin" w:xAlign="right" w:y="1" w:anchorLock="0"/>
      <w:tabs>
        <w:tab w:val="center" w:pos="4153"/>
        <w:tab w:val="right" w:pos="8306"/>
      </w:tabs>
      <w:rPr>
        <w:rStyle w:val="10110Char"/>
      </w:rPr>
    </w:pPr>
    <w:r>
      <w:rPr>
        <w:rStyle w:val="10110Char"/>
      </w:rPr>
      <w:fldChar w:fldCharType="begin"/>
    </w:r>
    <w:r>
      <w:rPr>
        <w:rStyle w:val="10110Char"/>
      </w:rPr>
      <w:instrText>Page</w:instrText>
    </w:r>
    <w:r>
      <w:fldChar w:fldCharType="separate"/>
    </w:r>
    <w:r>
      <w:rPr>
        <w:rStyle w:val="10110Char"/>
      </w:rPr>
      <w:t>0</w:t>
    </w:r>
    <w:r>
      <w:fldChar w:fldCharType="end"/>
    </w:r>
  </w:p>
  <w:p>
    <w:pPr>
      <w:pStyle w:val="101"/>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13"/>
      <w:tabs>
        <w:tab w:val="center" w:pos="4153"/>
        <w:tab w:val="right"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3"/>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12"/>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90"/>
      <w:tabs>
        <w:tab w:val="center" w:pos="4153"/>
        <w:tab w:val="right" w:pos="8306"/>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
      <w:tabs>
        <w:tab w:val="center" w:pos="4153"/>
        <w:tab w:val="right" w:pos="8306"/>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0"/>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BC69C82A"/>
    <w:lvl w:ilvl="0">
      <w:start w:val="1"/>
      <w:numFmt w:val="decimal"/>
      <w:lvlText w:val="%1."/>
      <w:lvlJc w:val="left"/>
      <w:pPr>
        <w:tabs>
          <w:tab w:val="num" w:pos="720"/>
        </w:tabs>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7"/>
    <w:multiLevelType w:val="multilevel"/>
    <w:tmpl w:val="00000007"/>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2">
    <w:nsid w:val="432061C9"/>
    <w:multiLevelType w:val="multilevel"/>
    <w:tmpl w:val="432061C9"/>
    <w:lvl w:ilvl="0">
      <w:start w:val="1"/>
      <w:numFmt w:val="japaneseCounting"/>
      <w:lvlText w:val="第%1条"/>
      <w:lvlJc w:val="left"/>
      <w:pPr>
        <w:tabs>
          <w:tab w:val="num" w:pos="0"/>
        </w:tabs>
        <w:ind w:left="420" w:hanging="420"/>
      </w:pPr>
      <w:rPr>
        <w:b/>
      </w:rPr>
    </w:lvl>
    <w:lvl w:ilvl="1">
      <w:start w:val="1"/>
      <w:numFmt w:val="decimal"/>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3">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styleId="Heading2">
    <w:name w:val="heading 2"/>
    <w:basedOn w:val="Normal"/>
    <w:next w:val="Normal"/>
    <w:pPr>
      <w:keepNext/>
      <w:keepLines/>
      <w:widowControl w:val="0"/>
      <w:spacing w:before="260" w:after="260" w:line="415" w:lineRule="auto"/>
      <w:outlineLvl w:val="1"/>
    </w:pPr>
    <w:rPr>
      <w:rFonts w:ascii="宋体" w:eastAsia="黑体" w:hAnsi="宋体"/>
      <w:b/>
      <w:bCs/>
      <w:sz w:val="32"/>
      <w:szCs w:val="32"/>
    </w:rPr>
  </w:style>
  <w:style w:type="paragraph" w:styleId="Heading3">
    <w:name w:val="heading 3"/>
    <w:basedOn w:val="Normal"/>
    <w:next w:val="Normal"/>
    <w:pPr>
      <w:keepNext/>
      <w:keepLines/>
      <w:widowControl w:val="0"/>
      <w:spacing w:before="260" w:after="260" w:line="415" w:lineRule="auto"/>
      <w:outlineLvl w:val="2"/>
    </w:pPr>
    <w:rPr>
      <w:b/>
      <w:bCs/>
      <w:sz w:val="32"/>
      <w:szCs w:val="32"/>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Indent">
    <w:name w:val="Body Text Indent"/>
    <w:next w:val="CommentText"/>
    <w:pPr>
      <w:widowControl w:val="0"/>
      <w:ind w:left="1104"/>
      <w:jc w:val="both"/>
    </w:pPr>
    <w:rPr>
      <w:rFonts w:ascii="宋体" w:eastAsia="宋体" w:cs="Times New Roman"/>
      <w:kern w:val="2"/>
      <w:sz w:val="21"/>
      <w:szCs w:val="21"/>
      <w:lang w:val="en-US" w:eastAsia="zh-CN" w:bidi="ar-SA"/>
    </w:rPr>
  </w:style>
  <w:style w:type="paragraph" w:styleId="Footer">
    <w:name w:val="footer"/>
    <w:pPr>
      <w:widowControl w:val="0"/>
      <w:tabs>
        <w:tab w:val="center" w:pos="4153"/>
        <w:tab w:val="right" w:pos="8306"/>
      </w:tabs>
      <w:snapToGrid w:val="0"/>
    </w:pPr>
    <w:rPr>
      <w:rFonts w:ascii="Times New Roman" w:eastAsia="宋体" w:hAnsi="Times New Roman" w:cs="Times New Roman"/>
      <w:kern w:val="2"/>
      <w:sz w:val="18"/>
      <w:szCs w:val="18"/>
      <w:lang w:val="en-US" w:eastAsia="en-US" w:bidi="ar-SA"/>
    </w:rPr>
  </w:style>
  <w:style w:type="paragraph" w:styleId="Header">
    <w:name w:val="head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next w:val="Normal"/>
    <w:pPr>
      <w:widowControl w:val="0"/>
      <w:spacing w:before="120" w:after="120"/>
    </w:pPr>
    <w:rPr>
      <w:rFonts w:ascii="等线" w:eastAsia="等线" w:cs="Times New Roman"/>
      <w:b/>
      <w:bCs/>
      <w:caps/>
      <w:smallCaps w:val="0"/>
      <w:kern w:val="2"/>
      <w:lang w:val="en-US" w:eastAsia="zh-CN" w:bidi="ar-SA"/>
    </w:rPr>
  </w:style>
  <w:style w:type="paragraph" w:styleId="ListNumber5">
    <w:name w:val="List Number 5"/>
    <w:basedOn w:val="Normal"/>
    <w:pPr>
      <w:tabs>
        <w:tab w:val="left" w:pos="2040"/>
      </w:tabs>
      <w:ind w:left="2040" w:hanging="360"/>
    </w:p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character" w:styleId="PageNumber">
    <w:name w:val="page number"/>
  </w:style>
  <w:style w:type="character" w:styleId="FollowedHyperlink">
    <w:name w:val="FollowedHyperlink"/>
    <w:basedOn w:val="DefaultParagraphFont"/>
    <w:rPr>
      <w:color w:val="800080"/>
      <w:u w:val="single"/>
    </w:rPr>
  </w:style>
  <w:style w:type="character" w:styleId="Hyperlink">
    <w:name w:val="Hyperlink"/>
    <w:basedOn w:val="DefaultParagraphFont"/>
    <w:rPr>
      <w:color w:val="0000FF"/>
      <w:u w:val="single"/>
    </w:rPr>
  </w:style>
  <w:style w:type="character" w:styleId="CommentReference">
    <w:name w:val="annotation reference"/>
    <w:rPr>
      <w:sz w:val="21"/>
      <w:szCs w:val="21"/>
    </w:rPr>
  </w:style>
  <w:style w:type="paragraph" w:customStyle="1" w:styleId="40">
    <w:name w:val="正文40"/>
    <w:next w:val="198510"/>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39">
    <w:name w:val="正文39"/>
    <w:pPr>
      <w:widowControl w:val="0"/>
      <w:jc w:val="both"/>
    </w:pPr>
    <w:rPr>
      <w:rFonts w:ascii="Calibri" w:eastAsia="宋体" w:hAnsi="Calibri" w:cs="Times New Roman"/>
      <w:kern w:val="2"/>
      <w:sz w:val="21"/>
      <w:szCs w:val="22"/>
      <w:lang w:val="en-US" w:eastAsia="zh-CN" w:bidi="ar-SA"/>
    </w:rPr>
  </w:style>
  <w:style w:type="paragraph" w:customStyle="1" w:styleId="38">
    <w:name w:val="正文38"/>
    <w:next w:val="14"/>
    <w:pPr>
      <w:widowControl w:val="0"/>
      <w:jc w:val="both"/>
    </w:pPr>
    <w:rPr>
      <w:rFonts w:ascii="Calibri" w:eastAsia="宋体" w:hAnsi="Calibri" w:cs="Times New Roman"/>
      <w:kern w:val="2"/>
      <w:sz w:val="21"/>
      <w:szCs w:val="22"/>
      <w:lang w:val="en-US" w:eastAsia="zh-CN" w:bidi="ar-SA"/>
    </w:rPr>
  </w:style>
  <w:style w:type="paragraph" w:customStyle="1" w:styleId="14">
    <w:name w:val="样式 1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6">
    <w:name w:val="正文36"/>
    <w:pPr>
      <w:widowControl w:val="0"/>
      <w:jc w:val="both"/>
    </w:pPr>
    <w:rPr>
      <w:rFonts w:ascii="Calibri" w:eastAsia="宋体" w:hAnsi="Calibri" w:cs="Times New Roman"/>
      <w:kern w:val="2"/>
      <w:sz w:val="21"/>
      <w:szCs w:val="22"/>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11110">
    <w:name w:val="样式 111 10 磅"/>
    <w:pPr>
      <w:widowControl w:val="0"/>
      <w:tabs>
        <w:tab w:val="left" w:pos="0"/>
      </w:tabs>
      <w:jc w:val="both"/>
    </w:pPr>
    <w:rPr>
      <w:rFonts w:ascii="宋体" w:eastAsia="宋体" w:cs="Times New Roman"/>
      <w:kern w:val="2"/>
      <w:sz w:val="21"/>
      <w:szCs w:val="21"/>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xl23">
    <w:name w:val="xl23"/>
    <w:pPr>
      <w:spacing w:before="100" w:beforeAutospacing="1" w:after="100" w:afterAutospacing="1" w:line="360" w:lineRule="auto"/>
      <w:jc w:val="both"/>
      <w:textAlignment w:val="top"/>
    </w:pPr>
    <w:rPr>
      <w:rFonts w:ascii="Times New Roman" w:eastAsia="宋体" w:hAnsi="Times New Roman" w:cs="Times New Roman"/>
      <w:kern w:val="2"/>
      <w:sz w:val="21"/>
      <w:szCs w:val="24"/>
      <w:lang w:val="en-US" w:eastAsia="en-US" w:bidi="ar-SA"/>
    </w:rPr>
  </w:style>
  <w:style w:type="paragraph" w:customStyle="1" w:styleId="105">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
    <w:name w:val="样式 10 小四"/>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6">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41">
    <w:name w:val="样式 14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ListNumber5"/>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
    <w:name w:val="样式 2 小三"/>
    <w:pPr>
      <w:widowControl w:val="0"/>
      <w:jc w:val="both"/>
    </w:pPr>
    <w:rPr>
      <w:rFonts w:ascii="Calibri" w:eastAsia="仿宋" w:hAnsi="Calibri" w:cs="Arial"/>
      <w:kern w:val="2"/>
      <w:sz w:val="30"/>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pPr>
      <w:widowControl w:val="0"/>
      <w:tabs>
        <w:tab w:val="left" w:pos="0"/>
      </w:tabs>
      <w:jc w:val="both"/>
    </w:pPr>
    <w:rPr>
      <w:rFonts w:ascii="宋体" w:eastAsia="宋体" w:cs="Times New Roman"/>
      <w:kern w:val="2"/>
      <w:sz w:val="21"/>
      <w:szCs w:val="21"/>
      <w:lang w:val="en-US" w:eastAsia="zh-CN" w:bidi="ar-SA"/>
    </w:rPr>
  </w:style>
  <w:style w:type="paragraph" w:customStyle="1" w:styleId="43910">
    <w:name w:val="样式 439 10 磅"/>
    <w:pPr>
      <w:widowControl w:val="0"/>
      <w:tabs>
        <w:tab w:val="left" w:pos="0"/>
      </w:tabs>
      <w:jc w:val="both"/>
    </w:pPr>
    <w:rPr>
      <w:rFonts w:ascii="宋体" w:eastAsia="宋体" w:cs="Times New Roman"/>
      <w:kern w:val="2"/>
      <w:sz w:val="21"/>
      <w:szCs w:val="21"/>
      <w:lang w:val="en-US" w:eastAsia="zh-CN" w:bidi="ar-SA"/>
    </w:rPr>
  </w:style>
  <w:style w:type="paragraph" w:customStyle="1" w:styleId="43810">
    <w:name w:val="样式 438 10 磅"/>
    <w:pPr>
      <w:widowControl w:val="0"/>
      <w:tabs>
        <w:tab w:val="left" w:pos="0"/>
      </w:tabs>
      <w:jc w:val="both"/>
    </w:pPr>
    <w:rPr>
      <w:rFonts w:ascii="宋体" w:eastAsia="宋体" w:cs="Times New Roman"/>
      <w:kern w:val="2"/>
      <w:sz w:val="21"/>
      <w:szCs w:val="21"/>
      <w:lang w:val="en-US" w:eastAsia="zh-CN" w:bidi="ar-SA"/>
    </w:rPr>
  </w:style>
  <w:style w:type="paragraph" w:customStyle="1" w:styleId="201510">
    <w:name w:val="样式 2015 10 磅"/>
    <w:pPr>
      <w:widowControl w:val="0"/>
      <w:tabs>
        <w:tab w:val="left" w:pos="0"/>
      </w:tabs>
      <w:jc w:val="both"/>
    </w:pPr>
    <w:rPr>
      <w:rFonts w:ascii="宋体" w:eastAsia="宋体" w:cs="Times New Roman"/>
      <w:kern w:val="2"/>
      <w:sz w:val="21"/>
      <w:szCs w:val="21"/>
      <w:lang w:val="en-US" w:eastAsia="zh-CN" w:bidi="ar-SA"/>
    </w:rPr>
  </w:style>
  <w:style w:type="paragraph" w:customStyle="1" w:styleId="43610">
    <w:name w:val="样式 436 10 磅"/>
    <w:pPr>
      <w:widowControl w:val="0"/>
      <w:tabs>
        <w:tab w:val="left" w:pos="0"/>
      </w:tabs>
      <w:jc w:val="both"/>
    </w:pPr>
    <w:rPr>
      <w:rFonts w:ascii="宋体" w:eastAsia="宋体" w:cs="Times New Roman"/>
      <w:kern w:val="2"/>
      <w:sz w:val="21"/>
      <w:szCs w:val="21"/>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1">
    <w:name w:val="样式 41 小三"/>
    <w:pPr>
      <w:widowControl w:val="0"/>
      <w:jc w:val="both"/>
    </w:pPr>
    <w:rPr>
      <w:rFonts w:ascii="Calibri" w:eastAsia="仿宋" w:hAnsi="Calibri" w:cs="Arial"/>
      <w:kern w:val="2"/>
      <w:sz w:val="30"/>
      <w:szCs w:val="22"/>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42">
    <w:name w:val="样式 42 小三"/>
    <w:pPr>
      <w:widowControl w:val="0"/>
      <w:jc w:val="both"/>
    </w:pPr>
    <w:rPr>
      <w:rFonts w:ascii="Calibri" w:eastAsia="仿宋" w:hAnsi="Calibri" w:cs="Arial"/>
      <w:kern w:val="2"/>
      <w:sz w:val="30"/>
      <w:szCs w:val="22"/>
      <w:lang w:val="en-US" w:eastAsia="zh-CN" w:bidi="ar-SA"/>
    </w:rPr>
  </w:style>
  <w:style w:type="paragraph" w:customStyle="1" w:styleId="51310">
    <w:name w:val="样式 513 10 磅"/>
    <w:pPr>
      <w:widowControl w:val="0"/>
      <w:ind w:left="1104"/>
      <w:jc w:val="both"/>
    </w:pPr>
    <w:rPr>
      <w:rFonts w:ascii="宋体" w:eastAsia="宋体" w:cs="Times New Roman"/>
      <w:kern w:val="2"/>
      <w:sz w:val="21"/>
      <w:szCs w:val="21"/>
      <w:lang w:val="en-US" w:eastAsia="zh-CN" w:bidi="ar-SA"/>
    </w:rPr>
  </w:style>
  <w:style w:type="paragraph" w:customStyle="1" w:styleId="51410">
    <w:name w:val="样式 514 10 磅"/>
    <w:pPr>
      <w:widowControl w:val="0"/>
      <w:ind w:left="1104"/>
      <w:jc w:val="both"/>
    </w:pPr>
    <w:rPr>
      <w:rFonts w:ascii="宋体" w:eastAsia="宋体" w:cs="Times New Roman"/>
      <w:kern w:val="2"/>
      <w:sz w:val="21"/>
      <w:szCs w:val="21"/>
      <w:lang w:val="en-US" w:eastAsia="zh-CN" w:bidi="ar-SA"/>
    </w:rPr>
  </w:style>
  <w:style w:type="paragraph" w:customStyle="1" w:styleId="80">
    <w:name w:val="样式 80 小四"/>
    <w:pPr>
      <w:widowControl w:val="0"/>
    </w:pPr>
    <w:rPr>
      <w:rFonts w:ascii="宋体" w:eastAsia="宋体" w:cs="Times New Roman"/>
      <w:kern w:val="2"/>
      <w:sz w:val="24"/>
      <w:szCs w:val="21"/>
      <w:lang w:val="en-US" w:eastAsia="zh-CN" w:bidi="ar-SA"/>
    </w:rPr>
  </w:style>
  <w:style w:type="paragraph" w:customStyle="1" w:styleId="63810">
    <w:name w:val="样式 638 10 磅"/>
    <w:pPr>
      <w:widowControl w:val="0"/>
      <w:jc w:val="both"/>
    </w:pPr>
    <w:rPr>
      <w:rFonts w:ascii="Calibri" w:eastAsia="宋体" w:hAnsi="Calibri" w:cs="Times New Roman"/>
      <w:kern w:val="2"/>
      <w:sz w:val="21"/>
      <w:szCs w:val="22"/>
      <w:lang w:val="en-US" w:eastAsia="zh-CN" w:bidi="ar-SA"/>
    </w:rPr>
  </w:style>
  <w:style w:type="paragraph" w:customStyle="1" w:styleId="65210">
    <w:name w:val="样式 652 10 磅"/>
    <w:pPr>
      <w:widowControl w:val="0"/>
      <w:tabs>
        <w:tab w:val="left" w:pos="0"/>
      </w:tabs>
      <w:jc w:val="both"/>
    </w:pPr>
    <w:rPr>
      <w:rFonts w:ascii="宋体" w:eastAsia="宋体" w:cs="Times New Roman"/>
      <w:kern w:val="2"/>
      <w:sz w:val="21"/>
      <w:szCs w:val="21"/>
      <w:lang w:val="en-US" w:eastAsia="zh-CN" w:bidi="ar-SA"/>
    </w:rPr>
  </w:style>
  <w:style w:type="paragraph" w:customStyle="1" w:styleId="65310">
    <w:name w:val="样式 653 10 磅"/>
    <w:pPr>
      <w:widowControl w:val="0"/>
      <w:ind w:left="1104"/>
      <w:jc w:val="both"/>
    </w:pPr>
    <w:rPr>
      <w:rFonts w:ascii="宋体" w:eastAsia="宋体" w:cs="Times New Roman"/>
      <w:kern w:val="2"/>
      <w:sz w:val="21"/>
      <w:szCs w:val="21"/>
      <w:lang w:val="en-US" w:eastAsia="zh-CN" w:bidi="ar-SA"/>
    </w:rPr>
  </w:style>
  <w:style w:type="paragraph" w:customStyle="1" w:styleId="44">
    <w:name w:val="样式 44 小三"/>
    <w:pPr>
      <w:widowControl w:val="0"/>
      <w:jc w:val="both"/>
    </w:pPr>
    <w:rPr>
      <w:rFonts w:ascii="Calibri" w:eastAsia="仿宋" w:hAnsi="Calibri" w:cs="Arial"/>
      <w:kern w:val="2"/>
      <w:sz w:val="30"/>
      <w:szCs w:val="22"/>
      <w:lang w:val="en-US" w:eastAsia="zh-CN" w:bidi="ar-SA"/>
    </w:rPr>
  </w:style>
  <w:style w:type="paragraph" w:customStyle="1" w:styleId="43510">
    <w:name w:val="样式 435 10 磅"/>
    <w:pPr>
      <w:widowControl w:val="0"/>
      <w:tabs>
        <w:tab w:val="left" w:pos="0"/>
      </w:tabs>
      <w:jc w:val="both"/>
    </w:pPr>
    <w:rPr>
      <w:rFonts w:ascii="宋体" w:eastAsia="宋体" w:cs="Times New Roman"/>
      <w:kern w:val="2"/>
      <w:sz w:val="21"/>
      <w:szCs w:val="21"/>
      <w:lang w:val="en-US" w:eastAsia="zh-CN" w:bidi="ar-SA"/>
    </w:rPr>
  </w:style>
  <w:style w:type="paragraph" w:customStyle="1" w:styleId="184410">
    <w:name w:val="样式 1844 10 磅"/>
    <w:pPr>
      <w:widowControl w:val="0"/>
      <w:tabs>
        <w:tab w:val="left" w:pos="0"/>
      </w:tabs>
      <w:jc w:val="both"/>
    </w:pPr>
    <w:rPr>
      <w:rFonts w:ascii="宋体" w:eastAsia="宋体" w:cs="Times New Roman"/>
      <w:kern w:val="2"/>
      <w:sz w:val="21"/>
      <w:szCs w:val="21"/>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tabs>
        <w:tab w:val="left" w:pos="0"/>
      </w:tabs>
      <w:jc w:val="both"/>
    </w:pPr>
    <w:rPr>
      <w:rFonts w:ascii="宋体" w:eastAsia="宋体" w:cs="Times New Roman"/>
      <w:kern w:val="2"/>
      <w:sz w:val="21"/>
      <w:szCs w:val="21"/>
      <w:lang w:val="en-US" w:eastAsia="zh-CN" w:bidi="ar-SA"/>
    </w:rPr>
  </w:style>
  <w:style w:type="paragraph" w:customStyle="1" w:styleId="184610">
    <w:name w:val="样式 1846 10 磅"/>
    <w:pPr>
      <w:widowControl w:val="0"/>
      <w:tabs>
        <w:tab w:val="left" w:pos="0"/>
      </w:tabs>
      <w:jc w:val="both"/>
    </w:pPr>
    <w:rPr>
      <w:rFonts w:ascii="宋体" w:eastAsia="宋体" w:cs="Times New Roman"/>
      <w:kern w:val="2"/>
      <w:sz w:val="21"/>
      <w:szCs w:val="21"/>
      <w:lang w:val="en-US" w:eastAsia="zh-CN" w:bidi="ar-SA"/>
    </w:rPr>
  </w:style>
  <w:style w:type="paragraph" w:customStyle="1" w:styleId="45510">
    <w:name w:val="样式 455 10 磅"/>
    <w:pPr>
      <w:widowControl w:val="0"/>
      <w:tabs>
        <w:tab w:val="left" w:pos="0"/>
      </w:tabs>
      <w:jc w:val="both"/>
    </w:pPr>
    <w:rPr>
      <w:rFonts w:ascii="宋体" w:eastAsia="宋体" w:cs="Times New Roman"/>
      <w:kern w:val="2"/>
      <w:sz w:val="21"/>
      <w:szCs w:val="21"/>
      <w:lang w:val="en-US" w:eastAsia="zh-CN" w:bidi="ar-SA"/>
    </w:rPr>
  </w:style>
  <w:style w:type="paragraph" w:customStyle="1" w:styleId="201210">
    <w:name w:val="样式 2012 10 磅"/>
    <w:pPr>
      <w:widowControl w:val="0"/>
      <w:tabs>
        <w:tab w:val="left" w:pos="0"/>
      </w:tabs>
      <w:jc w:val="both"/>
    </w:pPr>
    <w:rPr>
      <w:rFonts w:ascii="宋体" w:eastAsia="宋体" w:cs="Times New Roman"/>
      <w:kern w:val="2"/>
      <w:sz w:val="21"/>
      <w:szCs w:val="21"/>
      <w:lang w:val="en-US" w:eastAsia="zh-CN" w:bidi="ar-SA"/>
    </w:rPr>
  </w:style>
  <w:style w:type="paragraph" w:customStyle="1" w:styleId="191310">
    <w:name w:val="样式 1913 10 磅"/>
    <w:pPr>
      <w:widowControl w:val="0"/>
      <w:tabs>
        <w:tab w:val="left" w:pos="0"/>
      </w:tabs>
      <w:jc w:val="both"/>
    </w:pPr>
    <w:rPr>
      <w:rFonts w:ascii="宋体" w:eastAsia="宋体" w:cs="Times New Roman"/>
      <w:kern w:val="2"/>
      <w:sz w:val="21"/>
      <w:szCs w:val="21"/>
      <w:lang w:val="en-US" w:eastAsia="zh-CN" w:bidi="ar-SA"/>
    </w:rPr>
  </w:style>
  <w:style w:type="paragraph" w:customStyle="1" w:styleId="191410">
    <w:name w:val="样式 1914 10 磅"/>
    <w:pPr>
      <w:widowControl w:val="0"/>
      <w:tabs>
        <w:tab w:val="left" w:pos="0"/>
      </w:tabs>
      <w:jc w:val="both"/>
    </w:pPr>
    <w:rPr>
      <w:rFonts w:ascii="宋体" w:eastAsia="宋体" w:cs="Times New Roman"/>
      <w:kern w:val="2"/>
      <w:sz w:val="21"/>
      <w:szCs w:val="21"/>
      <w:lang w:val="en-US" w:eastAsia="zh-CN" w:bidi="ar-SA"/>
    </w:rPr>
  </w:style>
  <w:style w:type="paragraph" w:customStyle="1" w:styleId="191510">
    <w:name w:val="样式 1915 10 磅"/>
    <w:pPr>
      <w:widowControl w:val="0"/>
      <w:tabs>
        <w:tab w:val="left" w:pos="0"/>
      </w:tabs>
      <w:jc w:val="both"/>
    </w:pPr>
    <w:rPr>
      <w:rFonts w:ascii="宋体" w:eastAsia="宋体" w:cs="Times New Roman"/>
      <w:kern w:val="2"/>
      <w:sz w:val="21"/>
      <w:szCs w:val="21"/>
      <w:lang w:val="en-US" w:eastAsia="zh-CN" w:bidi="ar-SA"/>
    </w:rPr>
  </w:style>
  <w:style w:type="paragraph" w:customStyle="1" w:styleId="44410">
    <w:name w:val="样式 444 10 磅"/>
    <w:pPr>
      <w:widowControl w:val="0"/>
      <w:tabs>
        <w:tab w:val="left" w:pos="0"/>
      </w:tabs>
      <w:jc w:val="both"/>
    </w:pPr>
    <w:rPr>
      <w:rFonts w:ascii="宋体" w:eastAsia="宋体" w:cs="Times New Roman"/>
      <w:kern w:val="2"/>
      <w:sz w:val="21"/>
      <w:szCs w:val="21"/>
      <w:lang w:val="en-US" w:eastAsia="zh-CN" w:bidi="ar-SA"/>
    </w:rPr>
  </w:style>
  <w:style w:type="paragraph" w:customStyle="1" w:styleId="44310">
    <w:name w:val="样式 443 10 磅"/>
    <w:pPr>
      <w:widowControl w:val="0"/>
      <w:tabs>
        <w:tab w:val="left" w:pos="0"/>
      </w:tabs>
      <w:jc w:val="both"/>
    </w:pPr>
    <w:rPr>
      <w:rFonts w:ascii="宋体" w:eastAsia="宋体" w:cs="Times New Roman"/>
      <w:kern w:val="2"/>
      <w:sz w:val="21"/>
      <w:szCs w:val="21"/>
      <w:lang w:val="en-US" w:eastAsia="zh-CN" w:bidi="ar-SA"/>
    </w:rPr>
  </w:style>
  <w:style w:type="paragraph" w:customStyle="1" w:styleId="44210">
    <w:name w:val="样式 442 10 磅"/>
    <w:pPr>
      <w:widowControl w:val="0"/>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44210"/>
    <w:pPr>
      <w:widowControl w:val="0"/>
      <w:jc w:val="both"/>
    </w:pPr>
    <w:rPr>
      <w:rFonts w:ascii="等线" w:eastAsia="等线" w:cs="Times New Roman"/>
      <w:kern w:val="2"/>
      <w:sz w:val="21"/>
      <w:szCs w:val="22"/>
      <w:lang w:val="en-US" w:eastAsia="zh-CN" w:bidi="ar-SA"/>
    </w:rPr>
  </w:style>
  <w:style w:type="paragraph" w:customStyle="1" w:styleId="a">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customStyle="1" w:styleId="6">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6">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234">
    <w:name w:val="样式 2 小四3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7">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41310">
    <w:name w:val="样式 413 10 磅"/>
    <w:pPr>
      <w:widowControl w:val="0"/>
      <w:jc w:val="both"/>
    </w:pPr>
    <w:rPr>
      <w:rFonts w:ascii="Times New Roman" w:eastAsia="宋体" w:hAnsi="Times New Roman" w:cs="Times New Roman"/>
      <w:kern w:val="2"/>
      <w:sz w:val="21"/>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5410">
    <w:name w:val="样式 154 10 磅"/>
    <w:next w:val="5010"/>
    <w:pPr>
      <w:widowControl w:val="0"/>
      <w:jc w:val="both"/>
    </w:pPr>
    <w:rPr>
      <w:rFonts w:ascii="Times New Roman" w:eastAsia="方正黑体_GBK" w:hAnsi="Times New Roman" w:cs="Times New Roman"/>
      <w:kern w:val="2"/>
      <w:sz w:val="21"/>
      <w:szCs w:val="22"/>
      <w:lang w:val="en-US" w:eastAsia="zh-CN" w:bidi="ar-SA"/>
    </w:rPr>
  </w:style>
  <w:style w:type="paragraph" w:customStyle="1" w:styleId="5010">
    <w:name w:val="样式 50 10 磅"/>
    <w:pPr>
      <w:widowControl w:val="0"/>
      <w:jc w:val="both"/>
    </w:pPr>
    <w:rPr>
      <w:rFonts w:ascii="Times New Roman" w:eastAsia="宋体" w:hAnsi="Times New Roman" w:cs="Times New Roman"/>
      <w:kern w:val="2"/>
      <w:sz w:val="21"/>
      <w:szCs w:val="24"/>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0">
    <w:name w:val="纯文本_0"/>
    <w:pPr>
      <w:widowControl w:val="0"/>
      <w:spacing w:line="360" w:lineRule="auto"/>
      <w:jc w:val="both"/>
    </w:pPr>
    <w:rPr>
      <w:rFonts w:ascii="宋体" w:eastAsia="宋体" w:cs="Times New Roman"/>
      <w:kern w:val="2"/>
      <w:sz w:val="21"/>
      <w:szCs w:val="21"/>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21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60">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20">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3">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1">
    <w:name w:val="样式 7 小五"/>
    <w:pPr>
      <w:tabs>
        <w:tab w:val="center" w:pos="4153"/>
        <w:tab w:val="right" w:pos="8306"/>
      </w:tabs>
      <w:snapToGrid w:val="0"/>
    </w:pPr>
    <w:rPr>
      <w:rFonts w:ascii="Times New Roman" w:eastAsia="宋体" w:hAnsi="Times New Roman" w:cs="Times New Roman"/>
      <w:sz w:val="18"/>
      <w:szCs w:val="18"/>
      <w:lang w:val="en-US" w:eastAsia="en-US" w:bidi="ar-SA"/>
    </w:rPr>
  </w:style>
  <w:style w:type="paragraph" w:customStyle="1" w:styleId="17">
    <w:name w:val="样式 17"/>
    <w:link w:val="17Char"/>
    <w:rPr>
      <w:rFonts w:ascii="Times New Roman" w:eastAsia="宋体" w:hAnsi="Times New Roman" w:cs="Times New Roman"/>
      <w:lang w:val="en-US" w:eastAsia="zh-CN" w:bidi="ar-SA"/>
    </w:rPr>
  </w:style>
  <w:style w:type="character" w:customStyle="1" w:styleId="17Char">
    <w:name w:val="样式 17 Char"/>
    <w:basedOn w:val="DefaultParagraphFont"/>
    <w:link w:val="17"/>
    <w:rPr>
      <w:rFonts w:ascii="Times New Roman" w:eastAsia="宋体" w:hAnsi="Times New Roman" w:cs="Times New Roman"/>
      <w:lang w:val="en-US" w:eastAsia="zh-CN" w:bidi="ar-SA"/>
    </w:rPr>
  </w:style>
  <w:style w:type="paragraph" w:customStyle="1" w:styleId="81">
    <w:name w:val="样式 8 小五"/>
    <w:pPr>
      <w:tabs>
        <w:tab w:val="center" w:pos="4153"/>
        <w:tab w:val="right" w:pos="8306"/>
      </w:tabs>
      <w:snapToGrid w:val="0"/>
    </w:pPr>
    <w:rPr>
      <w:rFonts w:ascii="Times New Roman" w:eastAsia="宋体" w:hAnsi="Times New Roman" w:cs="Times New Roman"/>
      <w:sz w:val="18"/>
      <w:szCs w:val="18"/>
      <w:lang w:val="en-US" w:eastAsia="en-US" w:bidi="ar-SA"/>
    </w:rPr>
  </w:style>
  <w:style w:type="paragraph" w:customStyle="1" w:styleId="100">
    <w:name w:val="样式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样式 1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样式 3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样式 7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样式 8 10 磅"/>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样式 10 10 磅"/>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样式 11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样式 12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10">
    <w:name w:val="样式 1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810">
    <w:name w:val="样式 18 10 磅"/>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小四"/>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2310">
    <w:name w:val="样式 23 10 磅"/>
    <w:pPr>
      <w:widowControl w:val="0"/>
      <w:jc w:val="both"/>
    </w:pPr>
    <w:rPr>
      <w:rFonts w:ascii="Calibri" w:eastAsia="宋体" w:hAnsi="Calibri" w:cs="Times New Roman"/>
      <w:kern w:val="2"/>
      <w:sz w:val="21"/>
      <w:szCs w:val="22"/>
      <w:lang w:val="en-US" w:eastAsia="zh-CN" w:bidi="ar-SA"/>
    </w:rPr>
  </w:style>
  <w:style w:type="paragraph" w:customStyle="1" w:styleId="2510">
    <w:name w:val="样式 25 10 磅"/>
    <w:pPr>
      <w:widowControl w:val="0"/>
      <w:jc w:val="both"/>
    </w:pPr>
    <w:rPr>
      <w:rFonts w:ascii="Calibri" w:eastAsia="宋体" w:hAnsi="Calibri" w:cs="Times New Roman"/>
      <w:kern w:val="2"/>
      <w:sz w:val="21"/>
      <w:szCs w:val="24"/>
      <w:lang w:val="en-US" w:eastAsia="en-US" w:bidi="ar-SA"/>
    </w:rPr>
  </w:style>
  <w:style w:type="paragraph" w:customStyle="1" w:styleId="2610">
    <w:name w:val="样式 26 10 磅"/>
    <w:pPr>
      <w:widowControl w:val="0"/>
      <w:jc w:val="both"/>
    </w:pPr>
    <w:rPr>
      <w:rFonts w:ascii="Times New Roman" w:eastAsia="宋体" w:hAnsi="Times New Roman" w:cs="Times New Roman"/>
      <w:kern w:val="2"/>
      <w:sz w:val="21"/>
      <w:szCs w:val="24"/>
      <w:lang w:val="en-US" w:eastAsia="zh-CN" w:bidi="ar-SA"/>
    </w:rPr>
  </w:style>
  <w:style w:type="paragraph" w:styleId="BodyText3">
    <w:name w:val="Body Text 3"/>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styleId="Title">
    <w:name w:val="Title"/>
    <w:basedOn w:val="Normal"/>
    <w:pPr>
      <w:spacing w:before="240" w:after="60" w:line="360" w:lineRule="auto"/>
      <w:ind w:firstLine="480"/>
      <w:jc w:val="center"/>
      <w:outlineLvl w:val="0"/>
    </w:pPr>
    <w:rPr>
      <w:rFonts w:ascii="DejaVu Sans" w:eastAsia="Calibri" w:hAnsi="DejaVu Sans" w:cs="Calibri"/>
      <w:b/>
      <w:kern w:val="0"/>
      <w:sz w:val="32"/>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50">
    <w:name w:val="样式 3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4">
    <w:name w:val="样式 3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3910">
    <w:name w:val="样式 39 10 磅"/>
    <w:pPr>
      <w:widowControl w:val="0"/>
      <w:jc w:val="both"/>
    </w:pPr>
    <w:rPr>
      <w:rFonts w:ascii="Times New Roman" w:eastAsia="宋体" w:hAnsi="Times New Roman" w:cs="Times New Roman"/>
      <w:kern w:val="2"/>
      <w:sz w:val="21"/>
      <w:szCs w:val="22"/>
      <w:lang w:val="en-US" w:eastAsia="zh-CN" w:bidi="ar-SA"/>
    </w:rPr>
  </w:style>
  <w:style w:type="paragraph" w:customStyle="1" w:styleId="4110">
    <w:name w:val="样式 41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210">
    <w:name w:val="样式 42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5210">
    <w:name w:val="样式 52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4"/>
      <w:lang w:val="en-US" w:eastAsia="zh-CN" w:bidi="ar-SA"/>
    </w:rPr>
  </w:style>
  <w:style w:type="paragraph" w:customStyle="1" w:styleId="49">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
    <w:name w:val="样式 2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
    <w:name w:val="样式 2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6">
    <w:name w:val="样式 2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7">
    <w:name w:val="样式 2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
    <w:name w:val="样式 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82">
    <w:name w:val="样式 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7">
    <w:name w:val="样式 37 小四"/>
    <w:pPr>
      <w:widowControl w:val="0"/>
      <w:spacing w:line="360" w:lineRule="auto"/>
      <w:ind w:firstLine="480"/>
      <w:jc w:val="both"/>
    </w:pPr>
    <w:rPr>
      <w:rFonts w:ascii="Calibri" w:eastAsia="Calibri" w:hAnsi="Calibri" w:cs="Calibri"/>
      <w:sz w:val="24"/>
      <w:szCs w:val="24"/>
      <w:lang w:val="en-US" w:eastAsia="zh-CN" w:bidi="ar-SA"/>
    </w:rPr>
  </w:style>
  <w:style w:type="paragraph" w:styleId="PlainText">
    <w:name w:val="Plain Text"/>
    <w:next w:val="Footer"/>
    <w:pPr>
      <w:widowControl w:val="0"/>
      <w:jc w:val="both"/>
    </w:pPr>
    <w:rPr>
      <w:rFonts w:ascii="宋体" w:eastAsia="宋体" w:cs="Courier New"/>
      <w:kern w:val="2"/>
      <w:sz w:val="21"/>
      <w:szCs w:val="21"/>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styleId="BodyText">
    <w:name w:val="Body Text"/>
    <w:next w:val="Normal"/>
    <w:pPr>
      <w:widowControl w:val="0"/>
      <w:spacing w:line="360" w:lineRule="auto"/>
      <w:jc w:val="both"/>
    </w:pPr>
    <w:rPr>
      <w:rFonts w:ascii="等线" w:eastAsia="等线" w:cs="Arial"/>
      <w:b/>
      <w:bCs/>
      <w:kern w:val="2"/>
      <w:sz w:val="24"/>
      <w:szCs w:val="22"/>
      <w:lang w:val="en-US" w:eastAsia="zh-CN" w:bidi="ar-SA"/>
    </w:rPr>
  </w:style>
  <w:style w:type="paragraph" w:customStyle="1" w:styleId="11">
    <w:name w:val="样式 1 三号"/>
    <w:next w:val="Normal"/>
    <w:pPr>
      <w:widowControl w:val="0"/>
      <w:spacing w:line="560" w:lineRule="exact"/>
      <w:jc w:val="both"/>
    </w:pPr>
    <w:rPr>
      <w:rFonts w:ascii="Times New Roman" w:eastAsia="方正仿宋_GBK" w:hAnsi="Times New Roman" w:cs="Times New Roman"/>
      <w:spacing w:val="-4"/>
      <w:kern w:val="2"/>
      <w:sz w:val="32"/>
      <w:lang w:val="en-US" w:eastAsia="zh-CN" w:bidi="ar-SA"/>
    </w:rPr>
  </w:style>
  <w:style w:type="paragraph" w:customStyle="1" w:styleId="a1">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2710">
    <w:name w:val="样式 27 10 磅"/>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样式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2">
    <w:name w:val="样式 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a2">
    <w:name w:val="样式 三号"/>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2810">
    <w:name w:val="样式 28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pPr>
      <w:widowControl w:val="0"/>
      <w:jc w:val="both"/>
    </w:pPr>
    <w:rPr>
      <w:rFonts w:ascii="Times New Roman" w:eastAsia="宋体" w:hAnsi="Times New Roman" w:cs="Times New Roman"/>
      <w:kern w:val="2"/>
      <w:sz w:val="21"/>
      <w:szCs w:val="24"/>
      <w:lang w:val="en-US" w:eastAsia="zh-CN" w:bidi="ar-SA"/>
    </w:rPr>
  </w:style>
  <w:style w:type="paragraph" w:customStyle="1" w:styleId="4710">
    <w:name w:val="样式 47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4"/>
      <w:lang w:val="en-US" w:eastAsia="zh-CN" w:bidi="ar-SA"/>
    </w:rPr>
  </w:style>
  <w:style w:type="paragraph" w:customStyle="1" w:styleId="5610">
    <w:name w:val="样式 56 10 磅"/>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4"/>
      <w:lang w:val="en-US" w:eastAsia="zh-CN" w:bidi="ar-SA"/>
    </w:rPr>
  </w:style>
  <w:style w:type="paragraph" w:customStyle="1" w:styleId="6010">
    <w:name w:val="样式 60 10 磅"/>
    <w:pPr>
      <w:widowControl w:val="0"/>
      <w:jc w:val="both"/>
    </w:pPr>
    <w:rPr>
      <w:rFonts w:ascii="Times New Roman" w:eastAsia="宋体" w:hAnsi="Times New Roman" w:cs="Times New Roman"/>
      <w:kern w:val="2"/>
      <w:sz w:val="21"/>
      <w:szCs w:val="24"/>
      <w:lang w:val="en-US" w:eastAsia="zh-CN" w:bidi="ar-SA"/>
    </w:rPr>
  </w:style>
  <w:style w:type="paragraph" w:customStyle="1" w:styleId="6110">
    <w:name w:val="样式 61 10 磅"/>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样式 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1">
    <w:name w:val="样式 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3">
    <w:name w:val="样式 4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610">
    <w:name w:val="样式 66 10 磅"/>
    <w:pPr>
      <w:widowControl w:val="0"/>
      <w:jc w:val="both"/>
    </w:pPr>
    <w:rPr>
      <w:rFonts w:ascii="Calibri" w:eastAsia="宋体" w:hAnsi="Calibri" w:cs="Times New Roman"/>
      <w:kern w:val="2"/>
      <w:sz w:val="21"/>
      <w:szCs w:val="22"/>
      <w:lang w:val="en-US" w:eastAsia="zh-CN" w:bidi="ar-SA"/>
    </w:rPr>
  </w:style>
  <w:style w:type="paragraph" w:customStyle="1" w:styleId="6710">
    <w:name w:val="样式 67 10 磅"/>
    <w:pPr>
      <w:widowControl w:val="0"/>
      <w:jc w:val="both"/>
    </w:pPr>
    <w:rPr>
      <w:rFonts w:ascii="Times New Roman" w:eastAsia="宋体" w:hAnsi="Times New Roman" w:cs="Times New Roman"/>
      <w:kern w:val="2"/>
      <w:sz w:val="21"/>
      <w:szCs w:val="22"/>
      <w:lang w:val="en-US" w:eastAsia="zh-CN" w:bidi="ar-SA"/>
    </w:rPr>
  </w:style>
  <w:style w:type="paragraph" w:customStyle="1" w:styleId="6810">
    <w:name w:val="样式 68 10 磅"/>
    <w:pPr>
      <w:widowControl w:val="0"/>
      <w:jc w:val="both"/>
    </w:pPr>
    <w:rPr>
      <w:rFonts w:ascii="Calibri" w:eastAsia="宋体" w:hAnsi="Calibri" w:cs="Times New Roman"/>
      <w:kern w:val="2"/>
      <w:sz w:val="21"/>
      <w:szCs w:val="22"/>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7010">
    <w:name w:val="样式 70 10 磅"/>
    <w:pPr>
      <w:widowControl w:val="0"/>
      <w:jc w:val="both"/>
    </w:pPr>
    <w:rPr>
      <w:rFonts w:ascii="Times New Roman" w:eastAsia="宋体" w:hAnsi="Times New Roman" w:cs="Times New Roman"/>
      <w:kern w:val="2"/>
      <w:sz w:val="21"/>
      <w:szCs w:val="22"/>
      <w:lang w:val="en-US" w:eastAsia="zh-CN" w:bidi="ar-SA"/>
    </w:rPr>
  </w:style>
  <w:style w:type="paragraph" w:customStyle="1" w:styleId="7110">
    <w:name w:val="样式 71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1">
    <w:name w:val="样式 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72">
    <w:name w:val="样式 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1">
    <w:name w:val="样式 1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0">
    <w:name w:val="样式 1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
    <w:name w:val="样式 1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
    <w:name w:val="样式 1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
    <w:name w:val="样式 1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0">
    <w:name w:val="样式 1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
    <w:name w:val="样式 1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0">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9">
    <w:name w:val="样式 1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2">
    <w:name w:val="样式 2 三号"/>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7310">
    <w:name w:val="样式 73 10 磅"/>
    <w:pPr>
      <w:widowControl w:val="0"/>
      <w:jc w:val="both"/>
    </w:pPr>
    <w:rPr>
      <w:rFonts w:ascii="Times New Roman" w:eastAsia="宋体" w:hAnsi="Times New Roman" w:cs="Times New Roman"/>
      <w:kern w:val="2"/>
      <w:sz w:val="21"/>
      <w:szCs w:val="24"/>
      <w:lang w:val="en-US" w:eastAsia="zh-CN" w:bidi="ar-SA"/>
    </w:rPr>
  </w:style>
  <w:style w:type="paragraph" w:customStyle="1" w:styleId="7410">
    <w:name w:val="样式 74 10 磅"/>
    <w:pPr>
      <w:widowControl w:val="0"/>
      <w:jc w:val="both"/>
    </w:pPr>
    <w:rPr>
      <w:rFonts w:ascii="Times New Roman" w:eastAsia="宋体" w:hAnsi="Times New Roman" w:cs="Times New Roman"/>
      <w:kern w:val="2"/>
      <w:sz w:val="21"/>
      <w:szCs w:val="24"/>
      <w:lang w:val="en-US" w:eastAsia="zh-CN" w:bidi="ar-SA"/>
    </w:rPr>
  </w:style>
  <w:style w:type="paragraph" w:customStyle="1" w:styleId="7510">
    <w:name w:val="样式 75 10 磅"/>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pPr>
      <w:widowControl w:val="0"/>
      <w:jc w:val="both"/>
    </w:pPr>
    <w:rPr>
      <w:rFonts w:ascii="Times New Roman" w:eastAsia="宋体" w:hAnsi="Times New Roman" w:cs="Times New Roman"/>
      <w:kern w:val="2"/>
      <w:sz w:val="21"/>
      <w:szCs w:val="24"/>
      <w:lang w:val="en-US" w:eastAsia="zh-CN" w:bidi="ar-SA"/>
    </w:rPr>
  </w:style>
  <w:style w:type="paragraph" w:customStyle="1" w:styleId="8010">
    <w:name w:val="样式 80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pPr>
      <w:widowControl w:val="0"/>
      <w:jc w:val="both"/>
    </w:pPr>
    <w:rPr>
      <w:rFonts w:ascii="Times New Roman" w:eastAsia="宋体" w:hAnsi="Times New Roman" w:cs="Times New Roman"/>
      <w:kern w:val="2"/>
      <w:sz w:val="21"/>
      <w:szCs w:val="24"/>
      <w:lang w:val="en-US" w:eastAsia="zh-CN" w:bidi="ar-SA"/>
    </w:rPr>
  </w:style>
  <w:style w:type="paragraph" w:customStyle="1" w:styleId="8210">
    <w:name w:val="样式 82 10 磅"/>
    <w:pPr>
      <w:widowControl w:val="0"/>
      <w:jc w:val="both"/>
    </w:pPr>
    <w:rPr>
      <w:rFonts w:ascii="Times New Roman" w:eastAsia="宋体" w:hAnsi="Times New Roman" w:cs="Times New Roman"/>
      <w:kern w:val="2"/>
      <w:sz w:val="21"/>
      <w:szCs w:val="24"/>
      <w:lang w:val="en-US" w:eastAsia="zh-CN" w:bidi="ar-SA"/>
    </w:rPr>
  </w:style>
  <w:style w:type="paragraph" w:customStyle="1" w:styleId="8310">
    <w:name w:val="样式 83 10 磅"/>
    <w:pPr>
      <w:widowControl w:val="0"/>
      <w:jc w:val="both"/>
    </w:pPr>
    <w:rPr>
      <w:rFonts w:ascii="Times New Roman" w:eastAsia="宋体" w:hAnsi="Times New Roman" w:cs="Times New Roman"/>
      <w:kern w:val="2"/>
      <w:sz w:val="21"/>
      <w:szCs w:val="24"/>
      <w:lang w:val="en-US" w:eastAsia="zh-CN" w:bidi="ar-SA"/>
    </w:rPr>
  </w:style>
  <w:style w:type="paragraph" w:customStyle="1" w:styleId="8410">
    <w:name w:val="样式 84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pPr>
      <w:widowControl w:val="0"/>
      <w:jc w:val="both"/>
    </w:pPr>
    <w:rPr>
      <w:rFonts w:ascii="Times New Roman" w:eastAsia="宋体" w:hAnsi="Times New Roman" w:cs="Times New Roman"/>
      <w:kern w:val="2"/>
      <w:sz w:val="21"/>
      <w:szCs w:val="24"/>
      <w:lang w:val="en-US" w:eastAsia="zh-CN" w:bidi="ar-SA"/>
    </w:rPr>
  </w:style>
  <w:style w:type="paragraph" w:customStyle="1" w:styleId="8610">
    <w:name w:val="样式 86 10 磅"/>
    <w:pPr>
      <w:widowControl w:val="0"/>
      <w:jc w:val="both"/>
    </w:pPr>
    <w:rPr>
      <w:rFonts w:ascii="Times New Roman" w:eastAsia="宋体" w:hAnsi="Times New Roman" w:cs="Times New Roman"/>
      <w:kern w:val="2"/>
      <w:sz w:val="21"/>
      <w:szCs w:val="24"/>
      <w:lang w:val="en-US" w:eastAsia="zh-CN" w:bidi="ar-SA"/>
    </w:rPr>
  </w:style>
  <w:style w:type="paragraph" w:customStyle="1" w:styleId="8710">
    <w:name w:val="样式 8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pPr>
      <w:widowControl w:val="0"/>
      <w:jc w:val="both"/>
    </w:pPr>
    <w:rPr>
      <w:rFonts w:ascii="Times New Roman" w:eastAsia="宋体" w:hAnsi="Times New Roman" w:cs="Times New Roman"/>
      <w:kern w:val="2"/>
      <w:sz w:val="21"/>
      <w:szCs w:val="24"/>
      <w:lang w:val="en-US" w:eastAsia="zh-CN" w:bidi="ar-SA"/>
    </w:rPr>
  </w:style>
  <w:style w:type="paragraph" w:customStyle="1" w:styleId="9310">
    <w:name w:val="样式 93 10 磅"/>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样式 2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11">
    <w:name w:val="样式 2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20">
    <w:name w:val="样式 2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9410">
    <w:name w:val="样式 94 10 磅"/>
    <w:pPr>
      <w:widowControl w:val="0"/>
      <w:jc w:val="both"/>
    </w:pPr>
    <w:rPr>
      <w:rFonts w:ascii="Calibri" w:eastAsia="宋体" w:hAnsi="Calibri" w:cs="Times New Roman"/>
      <w:kern w:val="2"/>
      <w:sz w:val="21"/>
      <w:szCs w:val="22"/>
      <w:lang w:val="en-US" w:eastAsia="zh-CN" w:bidi="ar-SA"/>
    </w:rPr>
  </w:style>
  <w:style w:type="paragraph" w:customStyle="1" w:styleId="9510">
    <w:name w:val="样式 95 10 磅"/>
    <w:pPr>
      <w:widowControl w:val="0"/>
      <w:jc w:val="both"/>
    </w:pPr>
    <w:rPr>
      <w:rFonts w:ascii="Times New Roman" w:eastAsia="宋体" w:hAnsi="Times New Roman" w:cs="Times New Roman"/>
      <w:kern w:val="2"/>
      <w:sz w:val="21"/>
      <w:szCs w:val="22"/>
      <w:lang w:val="en-US" w:eastAsia="zh-CN" w:bidi="ar-SA"/>
    </w:rPr>
  </w:style>
  <w:style w:type="paragraph" w:customStyle="1" w:styleId="9610">
    <w:name w:val="样式 9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szCs w:val="22"/>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szCs w:val="22"/>
      <w:lang w:val="en-US" w:eastAsia="zh-CN" w:bidi="ar-SA"/>
    </w:rPr>
  </w:style>
  <w:style w:type="paragraph" w:customStyle="1" w:styleId="9910">
    <w:name w:val="样式 9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8">
    <w:name w:val="样式 2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9">
    <w:name w:val="样式 2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00">
    <w:name w:val="样式 3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11">
    <w:name w:val="样式 3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2">
    <w:name w:val="样式 3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3">
    <w:name w:val="样式 3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0">
    <w:name w:val="样式 3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0">
    <w:name w:val="样式 38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90">
    <w:name w:val="样式 3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a3">
    <w:name w:val="样式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2">
    <w:name w:val="样式 1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90">
    <w:name w:val="样式 9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01">
    <w:name w:val="样式 10 小五"/>
    <w:pPr>
      <w:tabs>
        <w:tab w:val="center" w:pos="4153"/>
        <w:tab w:val="right" w:pos="8306"/>
      </w:tabs>
      <w:snapToGrid w:val="0"/>
    </w:pPr>
    <w:rPr>
      <w:rFonts w:ascii="Times New Roman" w:eastAsia="宋体" w:hAnsi="Times New Roman" w:cs="Times New Roman"/>
      <w:sz w:val="18"/>
      <w:szCs w:val="18"/>
      <w:lang w:val="en-US" w:eastAsia="en-US" w:bidi="ar-SA"/>
    </w:rPr>
  </w:style>
  <w:style w:type="paragraph" w:customStyle="1" w:styleId="10110">
    <w:name w:val="样式 101 10 磅"/>
    <w:link w:val="10110Char"/>
    <w:rPr>
      <w:rFonts w:ascii="Times New Roman" w:eastAsia="宋体" w:hAnsi="Times New Roman" w:cs="Times New Roman"/>
      <w:lang w:val="en-US" w:eastAsia="zh-CN" w:bidi="ar-SA"/>
    </w:rPr>
  </w:style>
  <w:style w:type="character" w:customStyle="1" w:styleId="10110Char">
    <w:name w:val="样式 101 10 磅 Char"/>
    <w:basedOn w:val="DefaultParagraphFont"/>
    <w:link w:val="10110"/>
    <w:rPr>
      <w:rFonts w:ascii="Times New Roman" w:eastAsia="宋体" w:hAnsi="Times New Roman" w:cs="Times New Roman"/>
      <w:lang w:val="en-US" w:eastAsia="zh-CN" w:bidi="ar-SA"/>
    </w:rPr>
  </w:style>
  <w:style w:type="paragraph" w:customStyle="1" w:styleId="113">
    <w:name w:val="样式 11 小五"/>
    <w:pPr>
      <w:tabs>
        <w:tab w:val="center" w:pos="4153"/>
        <w:tab w:val="right" w:pos="8306"/>
      </w:tabs>
      <w:snapToGrid w:val="0"/>
    </w:pPr>
    <w:rPr>
      <w:rFonts w:ascii="Times New Roman" w:eastAsia="宋体" w:hAnsi="Times New Roman" w:cs="Times New Roma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157273740</TotalTime>
  <Pages>80</Pages>
  <Words>48035</Words>
  <Characters>49884</Characters>
  <Application>Microsoft Office Word</Application>
  <DocSecurity>0</DocSecurity>
  <Lines>3184</Lines>
  <Paragraphs>1436</Paragraphs>
  <ScaleCrop>false</ScaleCrop>
  <Company>Yozosoft</Company>
  <LinksUpToDate>false</LinksUpToDate>
  <CharactersWithSpaces>52326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dc:creator>
  <cp:lastModifiedBy>钟世旭</cp:lastModifiedBy>
  <cp:revision>1</cp:revision>
  <cp:lastPrinted>2025-04-27T02:19:00Z</cp:lastPrinted>
  <dcterms:created xsi:type="dcterms:W3CDTF">2017-11-20T02:14:00Z</dcterms:created>
  <dcterms:modified xsi:type="dcterms:W3CDTF">2025-05-07T01:59:23Z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DAB97B81684647D6B55AC614C1B7CF0B</vt:lpwstr>
  </property>
  <property fmtid="{D5CDD505-2E9C-101B-9397-08002B2CF9AE}" pid="3" name="KSOProductBuildVer">
    <vt:lpwstr>2052-11.8.2.12085</vt:lpwstr>
  </property>
</Properties>
</file>