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CG2024-BJ-GK-FW-048</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海关总署2024年大型集装箱（车辆）检查系统（钴60放射源、电子感应加速器、 X光机射线源）运维服务采购项目（重新招标）</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2024年11月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7</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22</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50</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53</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65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海关总署2024年大型集装箱（车辆）检查系统（钴60放射源、电子感应加速器、 X光机射线源）运维服务采购项目（重新招标）</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CG2024-BJ-GK-FW-048</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海关总署2024年大型集装箱（车辆）检查系统（钴60放射源、电子感应加速器、 X光机射线源）运维服务采购项目（重新招标）</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本项目预算金额合计总金额人民币46,018,300.00元，其中包1人民币46,018,300.00元。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1534"/>
        <w:gridCol w:w="1296"/>
        <w:gridCol w:w="1252"/>
      </w:tblGrid>
      <w:tr>
        <w:tblPrEx>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tcBorders>
              <w:top w:val="single" w:sz="4" w:space="0" w:color="000000"/>
              <w:left w:val="single" w:sz="4" w:space="0" w:color="000000"/>
              <w:bottom w:val="single" w:sz="4" w:space="0" w:color="000000"/>
              <w:right w:val="single" w:sz="4" w:space="0" w:color="000000"/>
            </w:tcBorders>
            <w:noWrap/>
          </w:tcPr>
          <w:p>
            <w:pPr>
              <w:pStyle w:val="107"/>
              <w:spacing w:after="120" w:line="240" w:lineRule="auto"/>
              <w:rPr>
                <w:rFonts w:ascii="宋体"/>
                <w:b/>
                <w:color w:val="000000"/>
                <w:sz w:val="24"/>
                <w:highlight w:val="white"/>
              </w:rPr>
            </w:pPr>
            <w:r>
              <w:rPr>
                <w:rFonts w:ascii="宋体"/>
                <w:b/>
                <w:color w:val="000000"/>
                <w:sz w:val="24"/>
                <w:highlight w:val="white"/>
              </w:rPr>
              <w:t>包件号</w:t>
            </w:r>
          </w:p>
        </w:tc>
        <w:tc>
          <w:tcPr>
            <w:tcW w:w="748" w:type="dxa"/>
            <w:tcBorders>
              <w:top w:val="single" w:sz="4" w:space="0" w:color="000000"/>
              <w:left w:val="single" w:sz="4" w:space="0" w:color="000000"/>
              <w:bottom w:val="single" w:sz="4" w:space="0" w:color="000000"/>
              <w:right w:val="single" w:sz="4" w:space="0" w:color="000000"/>
            </w:tcBorders>
            <w:noWrap/>
          </w:tcPr>
          <w:p>
            <w:pPr>
              <w:pStyle w:val="1100"/>
              <w:spacing w:after="120" w:line="240" w:lineRule="auto"/>
              <w:rPr>
                <w:rFonts w:ascii="宋体"/>
                <w:b/>
                <w:color w:val="000000"/>
                <w:sz w:val="24"/>
                <w:highlight w:val="white"/>
              </w:rPr>
            </w:pPr>
            <w:r>
              <w:rPr>
                <w:rFonts w:ascii="宋体"/>
                <w:b/>
                <w:color w:val="000000"/>
                <w:sz w:val="24"/>
                <w:highlight w:val="white"/>
              </w:rPr>
              <w:t>序号</w:t>
            </w:r>
          </w:p>
        </w:tc>
        <w:tc>
          <w:tcPr>
            <w:tcW w:w="1218" w:type="dxa"/>
            <w:tcBorders>
              <w:top w:val="single" w:sz="4" w:space="0" w:color="000000"/>
              <w:left w:val="single" w:sz="4" w:space="0" w:color="000000"/>
              <w:bottom w:val="single" w:sz="4" w:space="0" w:color="000000"/>
              <w:right w:val="single" w:sz="4" w:space="0" w:color="000000"/>
            </w:tcBorders>
            <w:noWrap/>
          </w:tcPr>
          <w:p>
            <w:pPr>
              <w:pStyle w:val="2100"/>
              <w:spacing w:after="120" w:line="240" w:lineRule="auto"/>
              <w:rPr>
                <w:rFonts w:ascii="宋体"/>
                <w:b/>
                <w:color w:val="000000"/>
                <w:sz w:val="24"/>
                <w:highlight w:val="white"/>
              </w:rPr>
            </w:pPr>
            <w:r>
              <w:rPr>
                <w:rFonts w:ascii="宋体" w:hint="eastAsia"/>
                <w:b/>
                <w:color w:val="000000"/>
                <w:sz w:val="24"/>
                <w:szCs w:val="24"/>
                <w:highlight w:val="white"/>
                <w:lang w:val="en-US" w:eastAsia="zh-CN"/>
              </w:rPr>
              <w:t>服务内容</w:t>
            </w:r>
          </w:p>
        </w:tc>
        <w:tc>
          <w:tcPr>
            <w:tcW w:w="787" w:type="dxa"/>
            <w:tcBorders>
              <w:top w:val="single" w:sz="4" w:space="0" w:color="000000"/>
              <w:left w:val="single" w:sz="4" w:space="0" w:color="000000"/>
              <w:bottom w:val="single" w:sz="4" w:space="0" w:color="000000"/>
              <w:right w:val="single" w:sz="4" w:space="0" w:color="000000"/>
            </w:tcBorders>
            <w:noWrap/>
          </w:tcPr>
          <w:p>
            <w:pPr>
              <w:pStyle w:val="3100"/>
              <w:spacing w:after="120" w:line="240" w:lineRule="auto"/>
              <w:rPr>
                <w:rFonts w:ascii="宋体"/>
                <w:b/>
                <w:color w:val="000000"/>
                <w:sz w:val="24"/>
                <w:highlight w:val="white"/>
              </w:rPr>
            </w:pPr>
            <w:r>
              <w:rPr>
                <w:rFonts w:ascii="宋体"/>
                <w:b/>
                <w:color w:val="000000"/>
                <w:sz w:val="24"/>
                <w:highlight w:val="white"/>
              </w:rPr>
              <w:t>数量</w:t>
            </w:r>
          </w:p>
        </w:tc>
        <w:tc>
          <w:tcPr>
            <w:tcW w:w="1534" w:type="dxa"/>
            <w:tcBorders>
              <w:top w:val="single" w:sz="4" w:space="0" w:color="000000"/>
              <w:left w:val="single" w:sz="4" w:space="0" w:color="000000"/>
              <w:bottom w:val="single" w:sz="4" w:space="0" w:color="000000"/>
              <w:right w:val="single" w:sz="4" w:space="0" w:color="000000"/>
            </w:tcBorders>
            <w:noWrap/>
          </w:tcPr>
          <w:p>
            <w:pPr>
              <w:pStyle w:val="4100"/>
              <w:spacing w:after="120" w:line="240" w:lineRule="auto"/>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1296" w:type="dxa"/>
            <w:tcBorders>
              <w:top w:val="single" w:sz="4" w:space="0" w:color="000000"/>
              <w:left w:val="single" w:sz="4" w:space="0" w:color="000000"/>
              <w:bottom w:val="single" w:sz="4" w:space="0" w:color="000000"/>
              <w:right w:val="single" w:sz="4" w:space="0" w:color="000000"/>
            </w:tcBorders>
            <w:noWrap/>
          </w:tcPr>
          <w:p>
            <w:pPr>
              <w:pStyle w:val="5100"/>
              <w:spacing w:after="120" w:line="240" w:lineRule="auto"/>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1252" w:type="dxa"/>
            <w:tcBorders>
              <w:top w:val="single" w:sz="4" w:space="0" w:color="000000"/>
              <w:left w:val="single" w:sz="4" w:space="0" w:color="000000"/>
              <w:bottom w:val="single" w:sz="4" w:space="0" w:color="000000"/>
              <w:right w:val="single" w:sz="4" w:space="0" w:color="000000"/>
            </w:tcBorders>
            <w:noWrap/>
          </w:tcPr>
          <w:p>
            <w:pPr>
              <w:pStyle w:val="6102"/>
              <w:spacing w:after="120" w:line="240" w:lineRule="auto"/>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7820" w:type="dxa"/>
          <w:jc w:val="center"/>
          <w:tblLayout w:type="fixed"/>
          <w:tblCellMar>
            <w:top w:w="0" w:type="dxa"/>
            <w:left w:w="108" w:type="dxa"/>
            <w:bottom w:w="0" w:type="dxa"/>
            <w:right w:w="108" w:type="dxa"/>
          </w:tblCellMar>
        </w:tblPrEx>
        <w:trPr>
          <w:jc w:val="center"/>
        </w:trPr>
        <w:tc>
          <w:tcPr>
            <w:tcW w:w="985" w:type="dxa"/>
            <w:noWrap/>
            <w:vAlign w:val="center"/>
          </w:tcPr>
          <w:p>
            <w:pPr>
              <w:spacing w:after="120" w:line="240" w:lineRule="auto"/>
              <w:rPr>
                <w:rFonts w:ascii="宋体"/>
                <w:b/>
                <w:color w:val="0000FF"/>
                <w:sz w:val="24"/>
                <w:highlight w:val="white"/>
              </w:rPr>
            </w:pPr>
            <w:r>
              <w:t>包件1</w:t>
            </w:r>
          </w:p>
        </w:tc>
        <w:tc>
          <w:tcPr>
            <w:tcW w:w="748" w:type="dxa"/>
            <w:noWrap/>
          </w:tcPr>
          <w:p>
            <w:pPr>
              <w:spacing w:after="120" w:line="240" w:lineRule="auto"/>
              <w:rPr>
                <w:rFonts w:ascii="宋体"/>
                <w:b/>
                <w:color w:val="0000FF"/>
                <w:sz w:val="24"/>
                <w:highlight w:val="white"/>
              </w:rPr>
            </w:pPr>
            <w:r>
              <w:t>1</w:t>
            </w:r>
          </w:p>
        </w:tc>
        <w:tc>
          <w:tcPr>
            <w:tcW w:w="1218" w:type="dxa"/>
            <w:noWrap/>
          </w:tcPr>
          <w:p>
            <w:pPr>
              <w:spacing w:after="120" w:line="240" w:lineRule="auto"/>
              <w:rPr>
                <w:rFonts w:ascii="宋体"/>
                <w:b/>
                <w:color w:val="0000FF"/>
                <w:sz w:val="24"/>
                <w:highlight w:val="white"/>
              </w:rPr>
            </w:pPr>
            <w:r>
              <w:t>大型集装箱/车辆检查系统维保服务</w:t>
            </w:r>
          </w:p>
        </w:tc>
        <w:tc>
          <w:tcPr>
            <w:tcW w:w="787" w:type="dxa"/>
            <w:noWrap/>
          </w:tcPr>
          <w:p>
            <w:pPr>
              <w:spacing w:after="120" w:line="240" w:lineRule="auto"/>
              <w:rPr>
                <w:rFonts w:ascii="宋体"/>
                <w:b/>
                <w:color w:val="0000FF"/>
                <w:sz w:val="24"/>
                <w:highlight w:val="white"/>
              </w:rPr>
            </w:pPr>
            <w:r>
              <w:t>1</w:t>
            </w:r>
          </w:p>
        </w:tc>
        <w:tc>
          <w:tcPr>
            <w:tcW w:w="1534" w:type="dxa"/>
            <w:noWrap/>
            <w:vAlign w:val="center"/>
          </w:tcPr>
          <w:p>
            <w:pPr>
              <w:spacing w:after="120" w:line="240" w:lineRule="auto"/>
              <w:rPr>
                <w:rFonts w:ascii="宋体"/>
                <w:b/>
                <w:color w:val="0000FF"/>
                <w:sz w:val="24"/>
                <w:highlight w:val="white"/>
              </w:rPr>
            </w:pPr>
            <w:r>
              <w:t>本项目运维时间为12个月，运维服务起始时间从运维合同签订之日起计算,具体见附件1《设备明细表》。在年度预算能够保障的前提下，合同可续签，每次续签一年，最多续签两次。</w:t>
            </w:r>
          </w:p>
        </w:tc>
        <w:tc>
          <w:tcPr>
            <w:tcW w:w="1296" w:type="dxa"/>
            <w:noWrap/>
            <w:vAlign w:val="center"/>
          </w:tcPr>
          <w:p>
            <w:pPr>
              <w:spacing w:after="120" w:line="240" w:lineRule="auto"/>
              <w:rPr>
                <w:rFonts w:ascii="宋体"/>
                <w:b/>
                <w:color w:val="0000FF"/>
                <w:sz w:val="24"/>
                <w:highlight w:val="white"/>
              </w:rPr>
            </w:pPr>
            <w:r>
              <w:t>海关指定地点</w:t>
            </w:r>
          </w:p>
        </w:tc>
        <w:tc>
          <w:tcPr>
            <w:tcW w:w="1252" w:type="dxa"/>
            <w:noWrap/>
            <w:vAlign w:val="center"/>
          </w:tcPr>
          <w:p>
            <w:pPr>
              <w:spacing w:after="120" w:line="240" w:lineRule="auto"/>
              <w:rPr>
                <w:rFonts w:ascii="宋体" w:hint="eastAsia"/>
                <w:b/>
                <w:color w:val="0000FF"/>
                <w:sz w:val="24"/>
                <w:highlight w:val="white"/>
              </w:rPr>
            </w:pPr>
            <w:r>
              <w:t>详见项目需求书</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9" w:name="公告_industryType"/>
      <w:r>
        <w:rPr>
          <w:rFonts w:ascii="宋体" w:hint="eastAsia"/>
          <w:b/>
          <w:bCs/>
          <w:color w:val="0000FF"/>
          <w:sz w:val="24"/>
          <w:highlight w:val="none"/>
        </w:rPr>
        <w:t>其他未列明行业</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0"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0"/>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1"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1"/>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2" w:name="公告_signUpFirstTime"/>
      <w:r>
        <w:rPr>
          <w:rFonts w:ascii="宋体" w:hint="eastAsia"/>
          <w:sz w:val="24"/>
        </w:rPr>
        <w:t>2024-11-29 00:00:00</w:t>
      </w:r>
      <w:bookmarkEnd w:id="12"/>
      <w:r>
        <w:rPr>
          <w:rFonts w:ascii="宋体" w:hint="eastAsia"/>
          <w:sz w:val="24"/>
        </w:rPr>
        <w:t>至</w:t>
      </w:r>
      <w:bookmarkStart w:id="13" w:name="公告_signUpLastTime"/>
      <w:r>
        <w:rPr>
          <w:rFonts w:ascii="宋体" w:hint="eastAsia"/>
          <w:sz w:val="24"/>
        </w:rPr>
        <w:t>2024-12-06 23:59:59</w:t>
      </w:r>
      <w:bookmarkEnd w:id="13"/>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4" w:name="项目公告_bidLastTime_1"/>
      <w:r>
        <w:rPr>
          <w:rFonts w:ascii="宋体" w:hint="eastAsia"/>
          <w:sz w:val="24"/>
        </w:rPr>
        <w:t>2024-12-20 08:30:00</w:t>
      </w:r>
      <w:bookmarkEnd w:id="14"/>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5" w:name="项目公告_openBidTime"/>
      <w:r>
        <w:rPr>
          <w:rFonts w:ascii="宋体" w:hint="eastAsia"/>
          <w:b/>
          <w:bCs/>
          <w:sz w:val="24"/>
        </w:rPr>
        <w:t>2024-12-20 08:30:00</w:t>
      </w:r>
      <w:bookmarkEnd w:id="15"/>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6"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6"/>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7" w:name="公告_siteSurvey"/>
      <w:r>
        <w:rPr>
          <w:rFonts w:ascii="Wingdings 2" w:hAnsi="Wingdings 2"/>
          <w:b/>
          <w:color w:val="0000FF"/>
          <w:sz w:val="24"/>
          <w:highlight w:val="white"/>
        </w:rPr>
        <w:t>不适用</w:t>
      </w:r>
      <w:bookmarkEnd w:id="17"/>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18" w:name="任务单_publicDate"/>
      <w:r>
        <w:rPr>
          <w:rFonts w:ascii="宋体" w:hint="eastAsia"/>
          <w:b/>
          <w:sz w:val="24"/>
          <w:highlight w:val="white"/>
        </w:rPr>
        <w:t>于2024-04-29</w:t>
      </w:r>
      <w:bookmarkEnd w:id="18"/>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19" w:name="_Toc65406664"/>
      <w:r>
        <w:rPr>
          <w:rFonts w:hint="eastAsia"/>
          <w:highlight w:val="white"/>
        </w:rPr>
        <w:t>第二部分  投标人须知</w:t>
      </w:r>
      <w:bookmarkEnd w:id="19"/>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0" w:name="采购任务单_purchaserOrgName"/>
            <w:r>
              <w:rPr>
                <w:rFonts w:ascii="宋体" w:cs="微软雅黑" w:hint="eastAsia"/>
                <w:bCs/>
                <w:color w:val="0000FF"/>
                <w:sz w:val="24"/>
                <w:highlight w:val="white"/>
                <w:lang w:bidi="ar-SA"/>
              </w:rPr>
              <w:t>海关总署</w:t>
            </w:r>
            <w:bookmarkEnd w:id="2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1" w:name="项目预算和包件预算"/>
            <w:r>
              <w:rPr>
                <w:rFonts w:ascii="宋体" w:cs="微软雅黑" w:hint="eastAsia"/>
                <w:bCs/>
                <w:color w:val="0000FF"/>
                <w:sz w:val="24"/>
                <w:lang w:bidi="ar-SA"/>
              </w:rPr>
              <w:t>本项目预算金额合计总金额人民币46,018,300.00元，其中包1人民币46,018,300.00元。</w:t>
            </w:r>
            <w:bookmarkEnd w:id="21"/>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2" w:name="项目公告_maxPrice"/>
            <w:r>
              <w:rPr>
                <w:rFonts w:ascii="宋体" w:cs="微软雅黑" w:hint="eastAsia"/>
                <w:color w:val="0000FF"/>
                <w:sz w:val="24"/>
                <w:highlight w:val="white"/>
                <w:lang w:bidi="ar-SA"/>
              </w:rPr>
              <w:t>46,018,300.00</w:t>
            </w:r>
            <w:bookmarkEnd w:id="22"/>
            <w:r>
              <w:rPr>
                <w:rFonts w:ascii="宋体" w:cs="微软雅黑" w:hint="eastAsia"/>
                <w:color w:val="auto"/>
                <w:sz w:val="24"/>
                <w:highlight w:val="white"/>
                <w:lang w:eastAsia="zh-CN" w:bidi="ar-SA"/>
              </w:rPr>
              <w:t>元</w:t>
            </w:r>
            <w:r>
              <w:rPr>
                <w:rFonts w:ascii="宋体" w:cs="微软雅黑" w:hint="eastAsia"/>
                <w:bCs/>
                <w:color w:val="0000FF"/>
                <w:sz w:val="24"/>
                <w:lang w:bidi="ar-SA"/>
              </w:rPr>
              <w:t>，其中包1人民币46,018,300.00元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23" w:name="投标须知_agentBidding"/>
            <w:r>
              <w:rPr>
                <w:rFonts w:ascii="宋体" w:cs="微软雅黑" w:hint="eastAsia"/>
                <w:color w:val="0000FF"/>
                <w:sz w:val="24"/>
                <w:lang w:bidi="ar-SA"/>
              </w:rPr>
              <w:t>否</w:t>
            </w:r>
            <w:bookmarkEnd w:id="23"/>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4" w:name="投标人须知_canUnion"/>
            <w:r>
              <w:rPr>
                <w:rFonts w:ascii="宋体" w:cs="微软雅黑" w:hint="eastAsia"/>
                <w:bCs/>
                <w:color w:val="0000FF"/>
                <w:sz w:val="24"/>
                <w:lang w:bidi="ar-SA"/>
              </w:rPr>
              <w:t>否</w:t>
            </w:r>
            <w:bookmarkEnd w:id="24"/>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bCs/>
          <w:sz w:val="24"/>
          <w:lang w:bidi="ar-SA"/>
        </w:rPr>
      </w:pPr>
    </w:p>
    <w:p>
      <w:pPr>
        <w:tabs>
          <w:tab w:val="left" w:pos="588"/>
        </w:tabs>
        <w:autoSpaceDN w:val="0"/>
        <w:spacing w:line="360" w:lineRule="auto"/>
        <w:ind w:left="1"/>
        <w:rPr>
          <w:rFonts w:ascii="宋体" w:cs="微软雅黑"/>
          <w:bCs/>
          <w:sz w:val="24"/>
          <w:lang w:bidi="ar-SA"/>
        </w:rPr>
      </w:pPr>
    </w:p>
    <w:p>
      <w:pPr>
        <w:tabs>
          <w:tab w:val="left" w:pos="588"/>
        </w:tabs>
        <w:autoSpaceDN w:val="0"/>
        <w:spacing w:line="360" w:lineRule="auto"/>
        <w:ind w:left="1"/>
        <w:rPr>
          <w:rFonts w:ascii="宋体" w:cs="微软雅黑"/>
          <w:bCs/>
          <w:sz w:val="24"/>
          <w:lang w:bidi="ar-SA"/>
        </w:r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25" w:name="采购任务单_purchaserOrgName_1"/>
      <w:r>
        <w:rPr>
          <w:rFonts w:ascii="宋体" w:hint="eastAsia"/>
          <w:color w:val="0000FF"/>
          <w:sz w:val="24"/>
          <w:lang w:val="en-US" w:eastAsia="zh-CN"/>
        </w:rPr>
        <w:t>海关总署</w:t>
      </w:r>
      <w:bookmarkEnd w:id="25"/>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6"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（3）投标人提供2021年12月1日起至本项目招标公告发布之日止（以合同签订日期为准），与本项目同类服务项目业绩相关材料，具体要求详见评分标准（加盖投标人电子签章）。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（4）★投标人应具备生产、销售、使用（至少一种）II类射线装置和II类放射源的《辐射安全许可证》。（提供许可证复印件并加盖投标人公章）。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（5）证明投标人满足投标人资格标准的其他必要资格证明文件（如有）（加盖投标人电子签章）。</w:t>
      </w:r>
      <w:bookmarkEnd w:id="26"/>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7"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提供项目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团队人员个人简历、相关领域职称或资质证书及相关领域工作经验情况，以及团队人员距开标之日半年内任意一个月的社保证明等材料，并承诺项目周期内实施人员的稳定性（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（3）投标人按要求提供项目预防性维护方案等，具体要求见第四部分评分标准（加盖投标人电子签章）。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（4）投标人认为应该提供的其他证明材料。（如有）（加盖投标人电子签章）。</w:t>
      </w:r>
      <w:bookmarkEnd w:id="27"/>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8" w:name="服务应答文件服务应答文件"/>
      <w:r>
        <w:rPr>
          <w:rFonts w:ascii="Times New Roman" w:hAnsi="Times New Roman" w:hint="eastAsia"/>
          <w:color w:val="0000FF"/>
          <w:kern w:val="0"/>
          <w:sz w:val="24"/>
          <w:szCs w:val="21"/>
          <w:highlight w:val="white"/>
        </w:rPr>
        <w:t>（1）投标人提供项目培训方案、售后服务体系方案等，具体要求见第四部分评分标准（加盖投标人电子签章）。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（2）投标人认为应该提供的证明材料（如有）（加盖投标人电子签章）。</w:t>
      </w:r>
      <w:bookmarkEnd w:id="28"/>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29" w:name="_Toc65406665"/>
      <w:r>
        <w:rPr>
          <w:rFonts w:hint="eastAsia"/>
          <w:lang w:val="en-US" w:eastAsia="zh-CN"/>
        </w:rPr>
        <w:t>第三部分  项目需求书</w:t>
      </w:r>
      <w:bookmarkEnd w:id="29"/>
    </w:p>
    <w:p>
      <w:pPr>
        <w:rPr>
          <w:highlight w:val="white"/>
        </w:rPr>
      </w:pPr>
    </w:p>
    <w:p>
      <w:pPr>
        <w:rPr>
          <w:highlight w:val="white"/>
        </w:rPr>
      </w:pPr>
    </w:p>
    <w:p>
      <w:pPr>
        <w:spacing w:line="560" w:lineRule="exact"/>
        <w:ind w:left="105" w:leftChars="50"/>
        <w:rPr>
          <w:rFonts w:ascii="宋体" w:eastAsia="宋体"/>
        </w:rPr>
      </w:pPr>
      <w:bookmarkStart w:id="30" w:name="插入_采购需求书"/>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spacing w:line="560" w:lineRule="exact"/>
        <w:ind w:left="105" w:leftChars="50"/>
        <w:rPr>
          <w:rFonts w:ascii="宋体" w:eastAsia="宋体" w:cs="Times New Roman"/>
          <w:kern w:val="2"/>
          <w:sz w:val="21"/>
        </w:rPr>
      </w:pPr>
      <w:r>
        <w:rPr>
          <w:rFonts w:ascii="宋体" w:eastAsia="宋体" w:cs="微软雅黑" w:hint="eastAsia"/>
          <w:b/>
          <w:bCs/>
        </w:rPr>
        <w:t>提交投标文件时，须注明需提供证明材料或承诺函等材料项所在位置（页码）。</w:t>
      </w:r>
      <w:r>
        <w:rPr>
          <w:rFonts w:ascii="宋体" w:eastAsia="宋体" w:cs="Times New Roman" w:hint="eastAsia"/>
          <w:b/>
          <w:bCs/>
        </w:rPr>
        <w:t>在年度预算能够保障的前提下，合同可续签，每次续签一年，最多续签两次。</w:t>
      </w:r>
    </w:p>
    <w:p>
      <w:pPr>
        <w:numPr>
          <w:ilvl w:val="0"/>
          <w:numId w:val="2"/>
        </w:numPr>
        <w:spacing w:line="560" w:lineRule="exact"/>
        <w:ind w:left="105" w:leftChars="50"/>
        <w:rPr>
          <w:rFonts w:ascii="宋体" w:eastAsia="宋体" w:cs="Times New Roman"/>
          <w:b/>
          <w:kern w:val="2"/>
          <w:sz w:val="32"/>
          <w:szCs w:val="32"/>
        </w:rPr>
      </w:pPr>
      <w:r>
        <w:rPr>
          <w:rFonts w:ascii="宋体" w:eastAsia="宋体" w:cs="Times New Roman"/>
          <w:b/>
          <w:kern w:val="2"/>
          <w:sz w:val="32"/>
          <w:szCs w:val="32"/>
        </w:rPr>
        <w:t>承诺项</w:t>
      </w:r>
    </w:p>
    <w:p>
      <w:pPr>
        <w:spacing w:line="560" w:lineRule="exact"/>
        <w:ind w:left="105" w:firstLine="420" w:leftChars="50" w:firstLineChars="200"/>
        <w:rPr>
          <w:rFonts w:ascii="宋体" w:eastAsia="宋体" w:cs="Times New Roman"/>
          <w:kern w:val="2"/>
        </w:rPr>
      </w:pPr>
      <w:r>
        <w:rPr>
          <w:rFonts w:ascii="宋体" w:eastAsia="宋体" w:cs="宋体"/>
          <w:kern w:val="2"/>
        </w:rPr>
        <w:t>1.</w:t>
      </w:r>
      <w:r>
        <w:rPr>
          <w:rFonts w:ascii="宋体" w:eastAsia="宋体" w:cs="宋体" w:hint="eastAsia"/>
          <w:kern w:val="2"/>
        </w:rPr>
        <w:t>行业类型（必填项）：</w:t>
      </w:r>
      <w:r>
        <w:rPr>
          <w:rFonts w:ascii="宋体" w:eastAsia="宋体" w:cs="Times New Roman" w:hint="eastAsia"/>
          <w:kern w:val="2"/>
        </w:rPr>
        <w:t xml:space="preserve"> </w:t>
      </w:r>
    </w:p>
    <w:p>
      <w:pPr>
        <w:autoSpaceDN w:val="0"/>
        <w:spacing w:line="560" w:lineRule="exact"/>
        <w:ind w:left="105" w:firstLine="420" w:leftChars="50" w:firstLineChars="200"/>
        <w:rPr>
          <w:rFonts w:ascii="宋体" w:eastAsia="宋体" w:cs="方正仿宋_GBK"/>
          <w:kern w:val="2"/>
        </w:rPr>
      </w:pPr>
      <w:r>
        <w:rPr>
          <w:rFonts w:ascii="宋体" w:eastAsia="宋体" w:cs="方正仿宋_GBK" w:hint="eastAsia"/>
          <w:kern w:val="2"/>
        </w:rPr>
        <w:t>其他未列明行业。</w:t>
      </w:r>
    </w:p>
    <w:p>
      <w:pPr>
        <w:spacing w:line="560" w:lineRule="exact"/>
        <w:ind w:left="105" w:firstLine="420" w:leftChars="50" w:firstLineChars="200"/>
        <w:rPr>
          <w:rFonts w:ascii="宋体" w:eastAsia="宋体" w:cs="方正仿宋_GBK"/>
          <w:kern w:val="2"/>
        </w:rPr>
      </w:pPr>
      <w:r>
        <w:rPr>
          <w:rFonts w:ascii="宋体" w:eastAsia="宋体" w:cs="方正仿宋_GBK" w:hint="eastAsia"/>
          <w:kern w:val="2"/>
        </w:rPr>
        <w:t>2.项目立项审核</w:t>
      </w:r>
      <w:r>
        <w:rPr>
          <w:rFonts w:ascii="宋体" w:eastAsia="宋体" w:cs="方正仿宋_GBK"/>
          <w:kern w:val="2"/>
        </w:rPr>
        <w:t>情况</w:t>
      </w:r>
    </w:p>
    <w:p>
      <w:pPr>
        <w:spacing w:line="560" w:lineRule="exact"/>
        <w:ind w:left="105" w:firstLine="420" w:leftChars="50" w:firstLineChars="200"/>
        <w:rPr>
          <w:rFonts w:ascii="宋体" w:eastAsia="宋体" w:cs="方正仿宋_GBK"/>
          <w:kern w:val="2"/>
        </w:rPr>
      </w:pPr>
      <w:r>
        <w:rPr>
          <w:rFonts w:ascii="宋体" w:eastAsia="宋体" w:cs="方正仿宋_GBK"/>
          <w:kern w:val="2"/>
        </w:rPr>
        <w:t>本项目</w:t>
      </w:r>
      <w:r>
        <w:rPr>
          <w:rFonts w:ascii="宋体" w:eastAsia="宋体" w:cs="方正仿宋_GBK" w:hint="eastAsia"/>
          <w:kern w:val="2"/>
        </w:rPr>
        <w:t>不</w:t>
      </w:r>
      <w:r>
        <w:rPr>
          <w:rFonts w:ascii="宋体" w:eastAsia="宋体" w:cs="方正仿宋_GBK"/>
          <w:kern w:val="2"/>
        </w:rPr>
        <w:t>属于新建、改建或者采用购买服务方式的政务应用程序项目。</w:t>
      </w:r>
    </w:p>
    <w:p>
      <w:pPr>
        <w:numPr>
          <w:ilvl w:val="0"/>
          <w:numId w:val="2"/>
        </w:numPr>
        <w:spacing w:line="240" w:lineRule="auto"/>
        <w:rPr>
          <w:rFonts w:ascii="宋体" w:eastAsia="宋体" w:cs="Times New Roman"/>
          <w:b/>
          <w:kern w:val="2"/>
          <w:sz w:val="32"/>
          <w:szCs w:val="32"/>
        </w:rPr>
      </w:pPr>
      <w:r>
        <w:rPr>
          <w:rFonts w:ascii="宋体" w:eastAsia="宋体" w:cs="Times New Roman" w:hint="eastAsia"/>
          <w:b/>
          <w:kern w:val="2"/>
          <w:sz w:val="32"/>
          <w:szCs w:val="32"/>
        </w:rPr>
        <w:t>采购政策落实</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45"/>
          <w:jc w:val="left"/>
        </w:trPr>
        <w:tc>
          <w:tcPr>
            <w:tcW w:w="758"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spacing w:line="240" w:lineRule="auto"/>
              <w:ind w:firstLine="0"/>
              <w:jc w:val="center"/>
              <w:rPr>
                <w:rFonts w:ascii="宋体" w:eastAsia="宋体"/>
                <w:b/>
                <w:kern w:val="2"/>
                <w:sz w:val="21"/>
              </w:rPr>
            </w:pPr>
            <w:r>
              <w:rPr>
                <w:rFonts w:ascii="宋体" w:eastAsia="宋体" w:hint="eastAsia"/>
                <w:b/>
                <w:kern w:val="2"/>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spacing w:line="240" w:lineRule="auto"/>
              <w:ind w:firstLine="0"/>
              <w:jc w:val="center"/>
              <w:rPr>
                <w:rFonts w:ascii="宋体" w:eastAsia="宋体"/>
                <w:b/>
                <w:kern w:val="2"/>
                <w:sz w:val="21"/>
              </w:rPr>
            </w:pPr>
            <w:r>
              <w:rPr>
                <w:rFonts w:ascii="宋体" w:eastAsia="宋体" w:hint="eastAsia"/>
                <w:b/>
                <w:kern w:val="2"/>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spacing w:line="240" w:lineRule="auto"/>
              <w:ind w:firstLine="0"/>
              <w:jc w:val="center"/>
              <w:rPr>
                <w:rFonts w:ascii="宋体" w:eastAsia="宋体"/>
                <w:b/>
                <w:kern w:val="2"/>
                <w:sz w:val="21"/>
              </w:rPr>
            </w:pPr>
            <w:r>
              <w:rPr>
                <w:rFonts w:ascii="宋体" w:eastAsia="宋体" w:hint="eastAsia"/>
                <w:b/>
                <w:kern w:val="2"/>
              </w:rPr>
              <w:t>说明</w:t>
            </w:r>
          </w:p>
        </w:tc>
      </w:tr>
      <w:tr>
        <w:tblPrEx>
          <w:jc w:val="left"/>
          <w:tblInd w:w="0" w:type="dxa"/>
          <w:tblLayout w:type="fixed"/>
          <w:tblCellMar>
            <w:top w:w="0" w:type="dxa"/>
            <w:left w:w="108" w:type="dxa"/>
            <w:bottom w:w="0" w:type="dxa"/>
            <w:right w:w="108" w:type="dxa"/>
          </w:tblCellMar>
        </w:tblPrEx>
        <w:trPr>
          <w:trHeight w:val="545"/>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kern w:val="2"/>
                <w:sz w:val="21"/>
              </w:rPr>
            </w:pPr>
            <w:r>
              <w:rPr>
                <w:rFonts w:ascii="宋体" w:eastAsia="宋体" w:hint="eastAsia"/>
                <w:kern w:val="2"/>
              </w:rPr>
              <w:t>1</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Times New Roman"/>
                <w:kern w:val="2"/>
                <w:sz w:val="21"/>
                <w:szCs w:val="21"/>
              </w:rPr>
            </w:pPr>
            <w:r>
              <w:rPr>
                <w:rFonts w:ascii="宋体" w:eastAsia="宋体" w:cs="Times New Roman" w:hint="eastAsia"/>
                <w:kern w:val="2"/>
                <w:sz w:val="21"/>
                <w:szCs w:val="21"/>
              </w:rPr>
              <w:t>是否面向中小微企业</w:t>
            </w:r>
          </w:p>
        </w:tc>
        <w:tc>
          <w:tcPr>
            <w:tcW w:w="5672" w:type="dxa"/>
            <w:tcBorders>
              <w:top w:val="single" w:sz="4" w:space="0" w:color="auto"/>
              <w:left w:val="single" w:sz="4" w:space="0" w:color="auto"/>
              <w:bottom w:val="single" w:sz="4" w:space="0" w:color="auto"/>
              <w:right w:val="single" w:sz="4" w:space="0" w:color="auto"/>
            </w:tcBorders>
            <w:noWrap/>
            <w:vAlign w:val="center"/>
          </w:tcPr>
          <w:p>
            <w:pPr>
              <w:autoSpaceDN w:val="0"/>
              <w:spacing w:line="240" w:lineRule="auto"/>
              <w:ind w:firstLine="0"/>
              <w:jc w:val="left"/>
              <w:rPr>
                <w:rFonts w:ascii="宋体" w:eastAsia="宋体" w:cs="Times New Roman"/>
                <w:kern w:val="2"/>
                <w:sz w:val="21"/>
                <w:szCs w:val="21"/>
              </w:rPr>
            </w:pPr>
            <w:r>
              <w:rPr>
                <w:rFonts w:ascii="宋体" w:eastAsia="宋体" w:cs="Times New Roman" w:hint="eastAsia"/>
                <w:kern w:val="2"/>
                <w:sz w:val="21"/>
                <w:szCs w:val="21"/>
              </w:rPr>
              <w:t>是，提供《中小企业声明函》并加盖单位公章</w:t>
            </w:r>
          </w:p>
        </w:tc>
      </w:tr>
      <w:tr>
        <w:tblPrEx>
          <w:jc w:val="left"/>
          <w:tblInd w:w="0" w:type="dxa"/>
          <w:tblLayout w:type="fixed"/>
          <w:tblCellMar>
            <w:top w:w="0" w:type="dxa"/>
            <w:left w:w="108" w:type="dxa"/>
            <w:bottom w:w="0" w:type="dxa"/>
            <w:right w:w="108" w:type="dxa"/>
          </w:tblCellMar>
        </w:tblPrEx>
        <w:trPr>
          <w:trHeight w:val="545"/>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kern w:val="2"/>
                <w:sz w:val="21"/>
              </w:rPr>
            </w:pPr>
            <w:r>
              <w:rPr>
                <w:rFonts w:ascii="宋体" w:eastAsia="宋体" w:hint="eastAsia"/>
                <w:kern w:val="2"/>
              </w:rPr>
              <w:t>2</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b/>
                <w:kern w:val="2"/>
                <w:sz w:val="21"/>
                <w:szCs w:val="21"/>
              </w:rPr>
            </w:pPr>
            <w:r>
              <w:rPr>
                <w:rFonts w:ascii="宋体" w:eastAsia="宋体" w:cs="Times New Roman" w:hint="eastAsia"/>
                <w:kern w:val="2"/>
                <w:sz w:val="21"/>
                <w:szCs w:val="21"/>
              </w:rPr>
              <w:t>是否允许进口产品</w:t>
            </w:r>
          </w:p>
        </w:tc>
        <w:tc>
          <w:tcPr>
            <w:tcW w:w="5672"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b/>
                <w:i/>
                <w:iCs/>
                <w:kern w:val="2"/>
                <w:sz w:val="21"/>
                <w:szCs w:val="21"/>
              </w:rPr>
            </w:pPr>
            <w:r>
              <w:rPr>
                <w:rFonts w:ascii="宋体" w:eastAsia="宋体" w:cs="Times New Roman" w:hint="eastAsia"/>
                <w:kern w:val="2"/>
                <w:sz w:val="21"/>
                <w:szCs w:val="21"/>
              </w:rPr>
              <w:t>否</w:t>
            </w:r>
          </w:p>
        </w:tc>
      </w:tr>
      <w:tr>
        <w:tblPrEx>
          <w:jc w:val="left"/>
          <w:tblInd w:w="0" w:type="dxa"/>
          <w:tblLayout w:type="fixed"/>
          <w:tblCellMar>
            <w:top w:w="0" w:type="dxa"/>
            <w:left w:w="108" w:type="dxa"/>
            <w:bottom w:w="0" w:type="dxa"/>
            <w:right w:w="108" w:type="dxa"/>
          </w:tblCellMar>
        </w:tblPrEx>
        <w:trPr>
          <w:trHeight w:val="545"/>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kern w:val="2"/>
                <w:sz w:val="21"/>
              </w:rPr>
            </w:pPr>
            <w:r>
              <w:rPr>
                <w:rFonts w:ascii="宋体" w:eastAsia="宋体" w:hint="eastAsia"/>
                <w:kern w:val="2"/>
              </w:rPr>
              <w:t>3</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b/>
                <w:kern w:val="2"/>
                <w:sz w:val="21"/>
                <w:szCs w:val="21"/>
              </w:rPr>
            </w:pPr>
            <w:r>
              <w:rPr>
                <w:rFonts w:ascii="宋体" w:eastAsia="宋体" w:cs="Times New Roman" w:hint="eastAsia"/>
                <w:kern w:val="2"/>
                <w:sz w:val="21"/>
                <w:szCs w:val="21"/>
              </w:rPr>
              <w:t>是否需要节能产品</w:t>
            </w:r>
          </w:p>
        </w:tc>
        <w:tc>
          <w:tcPr>
            <w:tcW w:w="5672"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b/>
                <w:i/>
                <w:iCs/>
                <w:kern w:val="2"/>
                <w:sz w:val="21"/>
                <w:szCs w:val="21"/>
              </w:rPr>
            </w:pPr>
            <w:r>
              <w:rPr>
                <w:rFonts w:ascii="宋体" w:eastAsia="宋体" w:cs="Times New Roman" w:hint="eastAsia"/>
                <w:kern w:val="2"/>
                <w:sz w:val="21"/>
                <w:szCs w:val="21"/>
              </w:rPr>
              <w:t>否</w:t>
            </w:r>
          </w:p>
        </w:tc>
      </w:tr>
      <w:tr>
        <w:tblPrEx>
          <w:jc w:val="left"/>
          <w:tblInd w:w="0" w:type="dxa"/>
          <w:tblLayout w:type="fixed"/>
          <w:tblCellMar>
            <w:top w:w="0" w:type="dxa"/>
            <w:left w:w="108" w:type="dxa"/>
            <w:bottom w:w="0" w:type="dxa"/>
            <w:right w:w="108" w:type="dxa"/>
          </w:tblCellMar>
        </w:tblPrEx>
        <w:trPr>
          <w:trHeight w:val="545"/>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kern w:val="2"/>
                <w:sz w:val="21"/>
              </w:rPr>
            </w:pPr>
            <w:r>
              <w:rPr>
                <w:rFonts w:ascii="宋体" w:eastAsia="宋体" w:hint="eastAsia"/>
                <w:kern w:val="2"/>
              </w:rPr>
              <w:t>4</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Times New Roman"/>
                <w:kern w:val="2"/>
                <w:sz w:val="21"/>
                <w:szCs w:val="21"/>
              </w:rPr>
            </w:pPr>
            <w:r>
              <w:rPr>
                <w:rFonts w:ascii="宋体" w:eastAsia="宋体" w:cs="Times New Roman" w:hint="eastAsia"/>
                <w:kern w:val="2"/>
                <w:sz w:val="21"/>
                <w:szCs w:val="21"/>
              </w:rPr>
              <w:t>是否需要环保标志产品</w:t>
            </w:r>
          </w:p>
        </w:tc>
        <w:tc>
          <w:tcPr>
            <w:tcW w:w="5672"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Times New Roman"/>
                <w:i/>
                <w:iCs/>
                <w:kern w:val="2"/>
                <w:sz w:val="21"/>
                <w:szCs w:val="21"/>
              </w:rPr>
            </w:pPr>
            <w:r>
              <w:rPr>
                <w:rFonts w:ascii="宋体" w:eastAsia="宋体" w:cs="Times New Roman" w:hint="eastAsia"/>
                <w:kern w:val="2"/>
                <w:sz w:val="21"/>
                <w:szCs w:val="21"/>
              </w:rPr>
              <w:t>否</w:t>
            </w:r>
          </w:p>
        </w:tc>
      </w:tr>
      <w:tr>
        <w:tblPrEx>
          <w:jc w:val="left"/>
          <w:tblInd w:w="0" w:type="dxa"/>
          <w:tblLayout w:type="fixed"/>
          <w:tblCellMar>
            <w:top w:w="0" w:type="dxa"/>
            <w:left w:w="108" w:type="dxa"/>
            <w:bottom w:w="0" w:type="dxa"/>
            <w:right w:w="108" w:type="dxa"/>
          </w:tblCellMar>
        </w:tblPrEx>
        <w:trPr>
          <w:trHeight w:val="545"/>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kern w:val="2"/>
                <w:sz w:val="21"/>
              </w:rPr>
            </w:pPr>
            <w:r>
              <w:rPr>
                <w:rFonts w:ascii="宋体" w:eastAsia="宋体" w:hint="eastAsia"/>
                <w:kern w:val="2"/>
              </w:rPr>
              <w:t>5</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Times New Roman"/>
                <w:kern w:val="2"/>
                <w:sz w:val="21"/>
                <w:szCs w:val="21"/>
              </w:rPr>
            </w:pPr>
            <w:r>
              <w:rPr>
                <w:rFonts w:ascii="宋体" w:eastAsia="宋体" w:cs="Times New Roman" w:hint="eastAsia"/>
                <w:kern w:val="2"/>
                <w:sz w:val="21"/>
                <w:szCs w:val="21"/>
              </w:rPr>
              <w:t>是否面向监狱企业</w:t>
            </w:r>
          </w:p>
        </w:tc>
        <w:tc>
          <w:tcPr>
            <w:tcW w:w="5672" w:type="dxa"/>
            <w:tcBorders>
              <w:top w:val="single" w:sz="4" w:space="0" w:color="auto"/>
              <w:left w:val="single" w:sz="4" w:space="0" w:color="auto"/>
              <w:bottom w:val="single" w:sz="4" w:space="0" w:color="auto"/>
              <w:right w:val="single" w:sz="4" w:space="0" w:color="auto"/>
            </w:tcBorders>
            <w:noWrap/>
            <w:vAlign w:val="center"/>
          </w:tcPr>
          <w:p>
            <w:pPr>
              <w:autoSpaceDN w:val="0"/>
              <w:spacing w:line="240" w:lineRule="auto"/>
              <w:ind w:firstLine="0"/>
              <w:rPr>
                <w:rFonts w:ascii="Times New Roman" w:eastAsia="宋体" w:hAnsi="Times New Roman" w:cs="Times New Roman"/>
                <w:kern w:val="2"/>
                <w:sz w:val="21"/>
                <w:szCs w:val="21"/>
              </w:rPr>
            </w:pPr>
            <w:r>
              <w:rPr>
                <w:rFonts w:ascii="宋体" w:eastAsia="宋体" w:cs="Times New Roman" w:hint="eastAsia"/>
                <w:kern w:val="2"/>
                <w:sz w:val="21"/>
                <w:szCs w:val="21"/>
              </w:rPr>
              <w:t>是，提供证明资料，并加盖单位公章</w:t>
            </w:r>
          </w:p>
        </w:tc>
      </w:tr>
      <w:tr>
        <w:tblPrEx>
          <w:jc w:val="left"/>
          <w:tblInd w:w="0" w:type="dxa"/>
          <w:tblLayout w:type="fixed"/>
          <w:tblCellMar>
            <w:top w:w="0" w:type="dxa"/>
            <w:left w:w="108" w:type="dxa"/>
            <w:bottom w:w="0" w:type="dxa"/>
            <w:right w:w="108" w:type="dxa"/>
          </w:tblCellMar>
        </w:tblPrEx>
        <w:trPr>
          <w:trHeight w:val="545"/>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kern w:val="2"/>
                <w:sz w:val="21"/>
              </w:rPr>
            </w:pPr>
            <w:r>
              <w:rPr>
                <w:rFonts w:ascii="宋体" w:eastAsia="宋体" w:hint="eastAsia"/>
                <w:kern w:val="2"/>
              </w:rPr>
              <w:t>6</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Times New Roman"/>
                <w:kern w:val="2"/>
                <w:sz w:val="21"/>
                <w:szCs w:val="21"/>
              </w:rPr>
            </w:pPr>
            <w:r>
              <w:rPr>
                <w:rFonts w:ascii="宋体" w:eastAsia="宋体" w:cs="Times New Roman" w:hint="eastAsia"/>
                <w:kern w:val="2"/>
                <w:sz w:val="21"/>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cBorders>
            <w:noWrap/>
            <w:vAlign w:val="center"/>
          </w:tcPr>
          <w:p>
            <w:pPr>
              <w:autoSpaceDN w:val="0"/>
              <w:spacing w:line="240" w:lineRule="auto"/>
              <w:ind w:firstLine="0"/>
              <w:rPr>
                <w:rFonts w:ascii="Times New Roman" w:eastAsia="宋体" w:hAnsi="Times New Roman" w:cs="Times New Roman"/>
                <w:kern w:val="2"/>
                <w:sz w:val="21"/>
                <w:szCs w:val="21"/>
              </w:rPr>
            </w:pPr>
            <w:r>
              <w:rPr>
                <w:rFonts w:ascii="宋体" w:eastAsia="宋体" w:cs="Times New Roman" w:hint="eastAsia"/>
                <w:kern w:val="2"/>
                <w:sz w:val="21"/>
                <w:szCs w:val="21"/>
              </w:rPr>
              <w:t>是，提供《残疾人福利性单位声明函》并加盖单位公章</w:t>
            </w:r>
          </w:p>
        </w:tc>
      </w:tr>
    </w:tbl>
    <w:p>
      <w:pPr>
        <w:spacing w:line="560" w:lineRule="exact"/>
        <w:ind w:firstLine="0"/>
        <w:rPr>
          <w:rFonts w:ascii="宋体" w:eastAsia="宋体" w:cs="Times New Roman"/>
          <w:kern w:val="2"/>
        </w:rPr>
      </w:pPr>
      <w:r>
        <w:rPr>
          <w:rFonts w:ascii="宋体" w:eastAsia="宋体" w:cs="Times New Roman" w:hint="eastAsia"/>
          <w:kern w:val="2"/>
        </w:rPr>
        <w:t>注：</w:t>
      </w:r>
      <w:r>
        <w:rPr>
          <w:rFonts w:ascii="宋体" w:eastAsia="宋体" w:cs="Times New Roman" w:hint="eastAsia"/>
          <w:kern w:val="2"/>
          <w:szCs w:val="21"/>
        </w:rPr>
        <w:t>本项目不专门面向中小微企业、监狱企业、残疾人企业。</w:t>
      </w:r>
    </w:p>
    <w:p>
      <w:pPr>
        <w:numPr>
          <w:ilvl w:val="0"/>
          <w:numId w:val="2"/>
        </w:numPr>
        <w:spacing w:line="240" w:lineRule="auto"/>
        <w:rPr>
          <w:rFonts w:ascii="宋体" w:eastAsia="宋体" w:cs="Times New Roman"/>
          <w:b/>
          <w:kern w:val="2"/>
          <w:sz w:val="32"/>
          <w:szCs w:val="32"/>
        </w:rPr>
      </w:pPr>
      <w:r>
        <w:rPr>
          <w:rFonts w:ascii="宋体" w:eastAsia="宋体" w:cs="Times New Roman" w:hint="eastAsia"/>
          <w:b/>
          <w:kern w:val="2"/>
          <w:sz w:val="32"/>
          <w:szCs w:val="32"/>
        </w:rPr>
        <w:t>商务需求</w:t>
      </w:r>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2973"/>
        <w:gridCol w:w="3281"/>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070"/>
          <w:jc w:val="left"/>
        </w:trPr>
        <w:tc>
          <w:tcPr>
            <w:tcW w:w="438"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序号</w:t>
            </w:r>
          </w:p>
        </w:tc>
        <w:tc>
          <w:tcPr>
            <w:tcW w:w="1830"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内容</w:t>
            </w:r>
          </w:p>
        </w:tc>
        <w:tc>
          <w:tcPr>
            <w:tcW w:w="2973"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说明</w:t>
            </w:r>
          </w:p>
        </w:tc>
        <w:tc>
          <w:tcPr>
            <w:tcW w:w="3281"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spacing w:line="240" w:lineRule="auto"/>
              <w:ind w:firstLine="0"/>
              <w:jc w:val="center"/>
              <w:rPr>
                <w:rFonts w:ascii="宋体" w:eastAsia="宋体" w:cs="Times New Roman"/>
                <w:b/>
                <w:kern w:val="2"/>
                <w:sz w:val="21"/>
              </w:rPr>
            </w:pPr>
            <w:r>
              <w:rPr>
                <w:rFonts w:ascii="宋体" w:eastAsia="宋体" w:cs="Times New Roman"/>
                <w:b/>
                <w:kern w:val="2"/>
                <w:sz w:val="21"/>
              </w:rPr>
              <w:t>证明材料要求</w:t>
            </w:r>
          </w:p>
        </w:tc>
      </w:tr>
      <w:tr>
        <w:tblPrEx>
          <w:tblW w:w="8522" w:type="dxa"/>
          <w:jc w:val="left"/>
          <w:tblInd w:w="0" w:type="dxa"/>
          <w:tblLayout w:type="fixed"/>
          <w:tblCellMar>
            <w:top w:w="0" w:type="dxa"/>
            <w:left w:w="108" w:type="dxa"/>
            <w:bottom w:w="0" w:type="dxa"/>
            <w:right w:w="108" w:type="dxa"/>
          </w:tblCellMar>
        </w:tblPrEx>
        <w:trPr>
          <w:trHeight w:val="274"/>
          <w:jc w:val="left"/>
        </w:trPr>
        <w:tc>
          <w:tcPr>
            <w:tcW w:w="438" w:type="dxa"/>
            <w:noWrap/>
            <w:vAlign w:val="center"/>
          </w:tcPr>
          <w:p>
            <w:pPr>
              <w:spacing w:line="240" w:lineRule="auto"/>
              <w:ind w:firstLine="0"/>
              <w:jc w:val="center"/>
              <w:rPr>
                <w:rFonts w:ascii="宋体" w:eastAsia="宋体" w:cs="Times New Roman"/>
                <w:kern w:val="2"/>
                <w:sz w:val="21"/>
              </w:rPr>
            </w:pPr>
            <w:r>
              <w:rPr>
                <w:rFonts w:ascii="宋体" w:eastAsia="宋体" w:cs="Times New Roman" w:hint="eastAsia"/>
                <w:b/>
                <w:kern w:val="2"/>
                <w:sz w:val="21"/>
              </w:rPr>
              <w:t>1</w:t>
            </w:r>
          </w:p>
        </w:tc>
        <w:tc>
          <w:tcPr>
            <w:tcW w:w="1830"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投标人资质</w:t>
            </w:r>
          </w:p>
        </w:tc>
        <w:tc>
          <w:tcPr>
            <w:tcW w:w="2973" w:type="dxa"/>
            <w:tcBorders>
              <w:top w:val="single" w:sz="4" w:space="0" w:color="auto"/>
              <w:left w:val="single" w:sz="4" w:space="0" w:color="auto"/>
              <w:right w:val="single" w:sz="4" w:space="0" w:color="auto"/>
            </w:tcBorders>
            <w:noWrap/>
            <w:vAlign w:val="center"/>
          </w:tcPr>
          <w:p>
            <w:pPr>
              <w:autoSpaceDN w:val="0"/>
              <w:spacing w:line="240" w:lineRule="exact"/>
              <w:ind w:firstLine="0"/>
              <w:rPr>
                <w:rFonts w:ascii="宋体" w:eastAsia="宋体" w:cs="宋体"/>
                <w:spacing w:val="5"/>
                <w:sz w:val="21"/>
                <w:szCs w:val="21"/>
              </w:rPr>
            </w:pPr>
            <w:r>
              <w:rPr>
                <w:rFonts w:ascii="宋体" w:eastAsia="宋体" w:cs="宋体" w:hint="eastAsia"/>
                <w:sz w:val="21"/>
                <w:szCs w:val="21"/>
              </w:rPr>
              <w:t>供应商通用资格条件，详见招标公告。</w:t>
            </w:r>
          </w:p>
          <w:p>
            <w:pPr>
              <w:spacing w:line="240" w:lineRule="exact"/>
              <w:ind w:firstLine="0"/>
              <w:jc w:val="left"/>
              <w:rPr>
                <w:rFonts w:ascii="宋体" w:eastAsia="宋体" w:cs="宋体"/>
                <w:spacing w:val="5"/>
                <w:sz w:val="21"/>
                <w:szCs w:val="21"/>
              </w:rPr>
            </w:pPr>
          </w:p>
          <w:p>
            <w:pPr>
              <w:spacing w:line="240" w:lineRule="auto"/>
              <w:ind w:firstLine="0"/>
              <w:jc w:val="left"/>
              <w:rPr>
                <w:rFonts w:ascii="宋体" w:eastAsia="宋体" w:cs="宋体"/>
                <w:spacing w:val="5"/>
                <w:kern w:val="2"/>
                <w:sz w:val="21"/>
                <w:szCs w:val="21"/>
              </w:rPr>
            </w:pPr>
            <w:r>
              <w:rPr>
                <w:rFonts w:ascii="宋体" w:eastAsia="宋体" w:cs="宋体"/>
                <w:spacing w:val="5"/>
                <w:kern w:val="2"/>
                <w:sz w:val="21"/>
                <w:szCs w:val="21"/>
              </w:rPr>
              <w:t>1</w:t>
            </w:r>
            <w:r>
              <w:rPr>
                <w:rFonts w:ascii="宋体" w:eastAsia="宋体" w:cs="宋体" w:hint="eastAsia"/>
                <w:spacing w:val="5"/>
                <w:kern w:val="2"/>
                <w:sz w:val="21"/>
                <w:szCs w:val="21"/>
              </w:rPr>
              <w:t>、</w:t>
            </w:r>
            <w:r>
              <w:rPr>
                <w:rFonts w:ascii="宋体" w:eastAsia="宋体" w:cs="宋体" w:hint="eastAsia"/>
                <w:kern w:val="2"/>
                <w:sz w:val="21"/>
              </w:rPr>
              <w:t xml:space="preserve"> </w:t>
            </w:r>
            <w:r>
              <w:rPr>
                <w:rFonts w:ascii="宋体" w:eastAsia="宋体" w:cs="宋体" w:hint="eastAsia"/>
                <w:spacing w:val="5"/>
                <w:kern w:val="2"/>
                <w:sz w:val="21"/>
                <w:szCs w:val="21"/>
              </w:rPr>
              <w:t>★</w:t>
            </w:r>
            <w:r>
              <w:rPr>
                <w:rFonts w:ascii="宋体" w:eastAsia="宋体" w:cs="宋体"/>
                <w:spacing w:val="5"/>
                <w:kern w:val="2"/>
                <w:sz w:val="21"/>
                <w:szCs w:val="21"/>
              </w:rPr>
              <w:t>投标人应具备生产、销售、使用（至少一种）II类射线装置和II类放射源的《辐射安全许可证》。</w:t>
            </w:r>
            <w:r>
              <w:rPr>
                <w:rFonts w:ascii="宋体" w:eastAsia="宋体" w:cs="宋体" w:hint="eastAsia"/>
                <w:spacing w:val="5"/>
                <w:kern w:val="2"/>
                <w:sz w:val="21"/>
                <w:szCs w:val="21"/>
              </w:rPr>
              <w:t xml:space="preserve">      2、</w:t>
            </w:r>
            <w:r>
              <w:rPr>
                <w:rFonts w:ascii="宋体" w:eastAsia="宋体" w:cs="宋体"/>
                <w:spacing w:val="5"/>
                <w:kern w:val="2"/>
                <w:sz w:val="21"/>
                <w:szCs w:val="21"/>
              </w:rPr>
              <w:t>投标人具备ISO9001质量管理体系认证证书、ISO14001环境管理体系认证证书、OHSAS18001职业健康安全管理体系认证证书、ISO27001信息安全管理体系认证证书（或上述四项的同等管理体系认证证书）。</w:t>
            </w:r>
          </w:p>
        </w:tc>
        <w:tc>
          <w:tcPr>
            <w:tcW w:w="3281" w:type="dxa"/>
            <w:noWrap/>
            <w:vAlign w:val="center"/>
          </w:tcPr>
          <w:p>
            <w:pPr>
              <w:autoSpaceDN w:val="0"/>
              <w:spacing w:line="240" w:lineRule="atLeast"/>
              <w:ind w:firstLine="0"/>
              <w:rPr>
                <w:rFonts w:ascii="宋体" w:eastAsia="宋体" w:cs="宋体"/>
                <w:spacing w:val="5"/>
                <w:kern w:val="2"/>
                <w:sz w:val="21"/>
                <w:szCs w:val="21"/>
              </w:rPr>
            </w:pPr>
            <w:r>
              <w:rPr>
                <w:rFonts w:ascii="宋体" w:eastAsia="宋体" w:cs="宋体" w:hint="eastAsia"/>
                <w:spacing w:val="5"/>
                <w:kern w:val="2"/>
                <w:sz w:val="21"/>
                <w:szCs w:val="21"/>
              </w:rPr>
              <w:t>对“说明”项中1、2资质要求，提供加盖投标人公章的《辐射安全许可证》、管理体系认证证书等相关证明材料复印件</w:t>
            </w:r>
          </w:p>
          <w:p>
            <w:pPr>
              <w:spacing w:line="240" w:lineRule="auto"/>
              <w:ind w:firstLine="0"/>
              <w:rPr>
                <w:rFonts w:ascii="Times New Roman" w:eastAsia="宋体" w:hAnsi="Times New Roman" w:cs="Times New Roman"/>
                <w:kern w:val="2"/>
                <w:sz w:val="21"/>
              </w:rPr>
            </w:pPr>
          </w:p>
        </w:tc>
      </w:tr>
      <w:tr>
        <w:tblPrEx>
          <w:tblW w:w="8522" w:type="dxa"/>
          <w:jc w:val="left"/>
          <w:tblInd w:w="0" w:type="dxa"/>
          <w:tblLayout w:type="fixed"/>
          <w:tblCellMar>
            <w:top w:w="0" w:type="dxa"/>
            <w:left w:w="108" w:type="dxa"/>
            <w:bottom w:w="0" w:type="dxa"/>
            <w:right w:w="108" w:type="dxa"/>
          </w:tblCellMar>
        </w:tblPrEx>
        <w:trPr>
          <w:trHeight w:val="703"/>
          <w:jc w:val="left"/>
        </w:trPr>
        <w:tc>
          <w:tcPr>
            <w:tcW w:w="438" w:type="dxa"/>
            <w:noWrap/>
            <w:vAlign w:val="center"/>
          </w:tcPr>
          <w:p>
            <w:pPr>
              <w:spacing w:line="240" w:lineRule="auto"/>
              <w:ind w:firstLine="0"/>
              <w:jc w:val="center"/>
              <w:rPr>
                <w:rFonts w:ascii="宋体" w:eastAsia="宋体" w:cs="Times New Roman"/>
                <w:kern w:val="2"/>
                <w:sz w:val="21"/>
              </w:rPr>
            </w:pPr>
            <w:r>
              <w:rPr>
                <w:rFonts w:ascii="宋体" w:eastAsia="宋体" w:cs="Times New Roman" w:hint="eastAsia"/>
                <w:b/>
                <w:kern w:val="2"/>
                <w:sz w:val="21"/>
              </w:rPr>
              <w:t>2</w:t>
            </w:r>
          </w:p>
        </w:tc>
        <w:tc>
          <w:tcPr>
            <w:tcW w:w="1830"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投标产品资质</w:t>
            </w:r>
          </w:p>
        </w:tc>
        <w:tc>
          <w:tcPr>
            <w:tcW w:w="2973"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宋体"/>
                <w:spacing w:val="5"/>
                <w:kern w:val="2"/>
                <w:sz w:val="21"/>
                <w:szCs w:val="21"/>
              </w:rPr>
            </w:pPr>
            <w:r>
              <w:rPr>
                <w:rFonts w:ascii="宋体" w:eastAsia="宋体" w:cs="宋体" w:hint="eastAsia"/>
                <w:spacing w:val="5"/>
                <w:kern w:val="2"/>
                <w:sz w:val="21"/>
                <w:szCs w:val="21"/>
              </w:rPr>
              <w:t>无</w:t>
            </w:r>
          </w:p>
        </w:tc>
        <w:tc>
          <w:tcPr>
            <w:tcW w:w="3281" w:type="dxa"/>
            <w:noWrap/>
            <w:vAlign w:val="center"/>
          </w:tcPr>
          <w:p>
            <w:pPr>
              <w:spacing w:line="240" w:lineRule="auto"/>
              <w:ind w:firstLine="0"/>
              <w:jc w:val="center"/>
              <w:rPr>
                <w:rFonts w:ascii="宋体" w:eastAsia="宋体" w:cs="Times New Roman"/>
                <w:iCs/>
                <w:kern w:val="2"/>
                <w:sz w:val="21"/>
                <w:lang w:bidi="en-US"/>
              </w:rPr>
            </w:pPr>
            <w:r>
              <w:rPr>
                <w:rFonts w:ascii="宋体" w:eastAsia="宋体" w:cs="Times New Roman" w:hint="eastAsia"/>
                <w:iCs/>
                <w:kern w:val="2"/>
                <w:sz w:val="21"/>
                <w:lang w:bidi="en-US"/>
              </w:rPr>
              <w:t>否</w:t>
            </w:r>
          </w:p>
        </w:tc>
      </w:tr>
      <w:tr>
        <w:tblPrEx>
          <w:tblW w:w="8522" w:type="dxa"/>
          <w:jc w:val="left"/>
          <w:tblInd w:w="0" w:type="dxa"/>
          <w:tblLayout w:type="fixed"/>
          <w:tblCellMar>
            <w:top w:w="0" w:type="dxa"/>
            <w:left w:w="108" w:type="dxa"/>
            <w:bottom w:w="0" w:type="dxa"/>
            <w:right w:w="108" w:type="dxa"/>
          </w:tblCellMar>
        </w:tblPrEx>
        <w:trPr>
          <w:trHeight w:val="544"/>
          <w:jc w:val="left"/>
        </w:trPr>
        <w:tc>
          <w:tcPr>
            <w:tcW w:w="438" w:type="dxa"/>
            <w:noWrap/>
            <w:vAlign w:val="center"/>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3</w:t>
            </w:r>
          </w:p>
        </w:tc>
        <w:tc>
          <w:tcPr>
            <w:tcW w:w="1830"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核心产品</w:t>
            </w:r>
          </w:p>
        </w:tc>
        <w:tc>
          <w:tcPr>
            <w:tcW w:w="2973"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宋体"/>
                <w:spacing w:val="5"/>
                <w:kern w:val="2"/>
                <w:sz w:val="21"/>
                <w:szCs w:val="21"/>
              </w:rPr>
            </w:pPr>
            <w:r>
              <w:rPr>
                <w:rFonts w:ascii="宋体" w:eastAsia="宋体" w:cs="宋体" w:hint="eastAsia"/>
                <w:spacing w:val="5"/>
                <w:kern w:val="2"/>
                <w:sz w:val="21"/>
                <w:szCs w:val="21"/>
              </w:rPr>
              <w:t>无</w:t>
            </w:r>
          </w:p>
        </w:tc>
        <w:tc>
          <w:tcPr>
            <w:tcW w:w="3281" w:type="dxa"/>
            <w:noWrap/>
            <w:vAlign w:val="center"/>
          </w:tcPr>
          <w:p>
            <w:pPr>
              <w:spacing w:line="240" w:lineRule="auto"/>
              <w:ind w:firstLine="0"/>
              <w:jc w:val="center"/>
              <w:rPr>
                <w:rFonts w:ascii="宋体" w:eastAsia="宋体" w:cs="Times New Roman"/>
                <w:iCs/>
                <w:kern w:val="2"/>
                <w:sz w:val="21"/>
                <w:lang w:bidi="en-US"/>
              </w:rPr>
            </w:pPr>
            <w:r>
              <w:rPr>
                <w:rFonts w:ascii="宋体" w:eastAsia="宋体" w:cs="Times New Roman" w:hint="eastAsia"/>
                <w:iCs/>
                <w:kern w:val="2"/>
                <w:sz w:val="21"/>
                <w:lang w:bidi="en-US"/>
              </w:rPr>
              <w:t>否</w:t>
            </w:r>
          </w:p>
        </w:tc>
      </w:tr>
      <w:tr>
        <w:tblPrEx>
          <w:tblW w:w="8522" w:type="dxa"/>
          <w:jc w:val="left"/>
          <w:tblInd w:w="0" w:type="dxa"/>
          <w:tblLayout w:type="fixed"/>
          <w:tblCellMar>
            <w:top w:w="0" w:type="dxa"/>
            <w:left w:w="108" w:type="dxa"/>
            <w:bottom w:w="0" w:type="dxa"/>
            <w:right w:w="108" w:type="dxa"/>
          </w:tblCellMar>
        </w:tblPrEx>
        <w:trPr>
          <w:trHeight w:val="1789"/>
          <w:jc w:val="left"/>
        </w:trPr>
        <w:tc>
          <w:tcPr>
            <w:tcW w:w="438" w:type="dxa"/>
            <w:noWrap/>
            <w:vAlign w:val="center"/>
          </w:tcPr>
          <w:p>
            <w:pPr>
              <w:spacing w:line="240" w:lineRule="auto"/>
              <w:ind w:firstLine="0"/>
              <w:jc w:val="center"/>
              <w:rPr>
                <w:rFonts w:ascii="宋体" w:eastAsia="宋体" w:cs="Times New Roman"/>
                <w:kern w:val="2"/>
                <w:sz w:val="21"/>
              </w:rPr>
            </w:pPr>
            <w:r>
              <w:rPr>
                <w:rFonts w:ascii="宋体" w:eastAsia="宋体" w:cs="Times New Roman"/>
                <w:b/>
                <w:kern w:val="2"/>
                <w:sz w:val="21"/>
              </w:rPr>
              <w:t>4</w:t>
            </w:r>
          </w:p>
        </w:tc>
        <w:tc>
          <w:tcPr>
            <w:tcW w:w="1830"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信息安全要求</w:t>
            </w:r>
          </w:p>
        </w:tc>
        <w:tc>
          <w:tcPr>
            <w:tcW w:w="2973" w:type="dxa"/>
            <w:tcBorders>
              <w:top w:val="single" w:sz="4" w:space="0" w:color="auto"/>
              <w:left w:val="single" w:sz="4" w:space="0" w:color="auto"/>
              <w:right w:val="single" w:sz="4" w:space="0" w:color="auto"/>
            </w:tcBorders>
            <w:noWrap/>
            <w:vAlign w:val="center"/>
          </w:tcPr>
          <w:p>
            <w:pPr>
              <w:spacing w:line="240" w:lineRule="exact"/>
              <w:ind w:firstLine="0"/>
              <w:rPr>
                <w:rFonts w:ascii="宋体" w:eastAsia="宋体" w:cs="宋体"/>
                <w:spacing w:val="5"/>
                <w:kern w:val="2"/>
                <w:sz w:val="21"/>
                <w:szCs w:val="21"/>
              </w:rPr>
            </w:pPr>
            <w:r>
              <w:rPr>
                <w:rFonts w:ascii="宋体" w:eastAsia="宋体" w:cs="宋体" w:hint="eastAsia"/>
                <w:kern w:val="2"/>
                <w:sz w:val="21"/>
                <w:szCs w:val="21"/>
              </w:rPr>
              <w:t>★</w:t>
            </w:r>
            <w:r>
              <w:rPr>
                <w:rFonts w:ascii="宋体" w:eastAsia="宋体" w:cs="宋体"/>
                <w:spacing w:val="5"/>
                <w:kern w:val="2"/>
                <w:sz w:val="21"/>
                <w:szCs w:val="21"/>
              </w:rPr>
              <w:t>投标人中标后需签订保密协议，承诺对工作过程中获悉的海关业务信息和内部管理信息进行保密，未经海关允许擅自使用或利用相关信息，投标人承担全部责任</w:t>
            </w:r>
          </w:p>
        </w:tc>
        <w:tc>
          <w:tcPr>
            <w:tcW w:w="3281" w:type="dxa"/>
            <w:noWrap/>
            <w:vAlign w:val="center"/>
          </w:tcPr>
          <w:p>
            <w:pPr>
              <w:spacing w:line="240" w:lineRule="auto"/>
              <w:ind w:firstLine="0"/>
              <w:rPr>
                <w:rFonts w:ascii="宋体" w:eastAsia="宋体" w:cs="Times New Roman"/>
                <w:iCs/>
                <w:kern w:val="2"/>
                <w:sz w:val="21"/>
                <w:lang w:bidi="en-US"/>
              </w:rPr>
            </w:pPr>
            <w:r>
              <w:rPr>
                <w:rFonts w:ascii="宋体" w:eastAsia="宋体" w:cs="宋体" w:hint="eastAsia"/>
                <w:spacing w:val="5"/>
                <w:kern w:val="2"/>
                <w:sz w:val="21"/>
                <w:szCs w:val="21"/>
              </w:rPr>
              <w:t>提供加盖投标人公章的承诺书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noWrap/>
            <w:vAlign w:val="center"/>
          </w:tcPr>
          <w:p>
            <w:pPr>
              <w:spacing w:line="240" w:lineRule="auto"/>
              <w:ind w:firstLine="0"/>
              <w:jc w:val="center"/>
              <w:rPr>
                <w:rFonts w:ascii="宋体" w:eastAsia="宋体" w:cs="Times New Roman"/>
                <w:kern w:val="2"/>
                <w:sz w:val="21"/>
              </w:rPr>
            </w:pPr>
            <w:r>
              <w:rPr>
                <w:rFonts w:ascii="宋体" w:eastAsia="宋体" w:cs="Times New Roman"/>
                <w:kern w:val="2"/>
                <w:sz w:val="21"/>
              </w:rPr>
              <w:t>5</w:t>
            </w:r>
          </w:p>
        </w:tc>
        <w:tc>
          <w:tcPr>
            <w:tcW w:w="1830"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是否需要现场考察</w:t>
            </w:r>
          </w:p>
        </w:tc>
        <w:tc>
          <w:tcPr>
            <w:tcW w:w="2973"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lang w:bidi="en-US"/>
              </w:rPr>
            </w:pPr>
            <w:r>
              <w:rPr>
                <w:rFonts w:ascii="宋体" w:eastAsia="宋体" w:cs="宋体" w:hint="eastAsia"/>
                <w:spacing w:val="5"/>
                <w:kern w:val="2"/>
                <w:sz w:val="21"/>
                <w:szCs w:val="21"/>
              </w:rPr>
              <w:t>无</w:t>
            </w:r>
          </w:p>
        </w:tc>
        <w:tc>
          <w:tcPr>
            <w:tcW w:w="3281" w:type="dxa"/>
            <w:noWrap/>
            <w:vAlign w:val="center"/>
          </w:tcPr>
          <w:p>
            <w:pPr>
              <w:spacing w:line="240" w:lineRule="auto"/>
              <w:ind w:firstLine="0"/>
              <w:jc w:val="center"/>
              <w:rPr>
                <w:rFonts w:ascii="宋体" w:eastAsia="宋体" w:cs="Times New Roman"/>
                <w:iCs/>
                <w:kern w:val="2"/>
                <w:sz w:val="21"/>
                <w:szCs w:val="21"/>
                <w:lang w:bidi="en-US"/>
              </w:rPr>
            </w:pPr>
            <w:r>
              <w:rPr>
                <w:rFonts w:ascii="宋体" w:eastAsia="宋体" w:cs="Times New Roman" w:hint="eastAsia"/>
                <w:iCs/>
                <w:kern w:val="2"/>
                <w:sz w:val="21"/>
                <w:szCs w:val="21"/>
                <w:lang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noWrap/>
            <w:vAlign w:val="center"/>
          </w:tcPr>
          <w:p>
            <w:pPr>
              <w:spacing w:line="240" w:lineRule="auto"/>
              <w:ind w:firstLine="0"/>
              <w:jc w:val="center"/>
              <w:rPr>
                <w:rFonts w:ascii="宋体" w:eastAsia="宋体" w:cs="Times New Roman"/>
                <w:kern w:val="2"/>
                <w:sz w:val="21"/>
              </w:rPr>
            </w:pPr>
            <w:r>
              <w:rPr>
                <w:rFonts w:ascii="宋体" w:eastAsia="宋体" w:cs="Times New Roman"/>
                <w:kern w:val="2"/>
                <w:sz w:val="21"/>
              </w:rPr>
              <w:t>6</w:t>
            </w:r>
          </w:p>
        </w:tc>
        <w:tc>
          <w:tcPr>
            <w:tcW w:w="1830"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是否收取履约保证金</w:t>
            </w:r>
          </w:p>
        </w:tc>
        <w:tc>
          <w:tcPr>
            <w:tcW w:w="2973"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Times New Roman"/>
                <w:kern w:val="2"/>
                <w:sz w:val="21"/>
                <w:lang w:bidi="en-US"/>
              </w:rPr>
            </w:pPr>
            <w:r>
              <w:rPr>
                <w:rFonts w:ascii="宋体" w:eastAsia="宋体" w:cs="宋体"/>
                <w:spacing w:val="5"/>
                <w:kern w:val="2"/>
                <w:sz w:val="21"/>
                <w:szCs w:val="21"/>
              </w:rPr>
              <w:t>合同金额的10%</w:t>
            </w:r>
          </w:p>
        </w:tc>
        <w:tc>
          <w:tcPr>
            <w:tcW w:w="3281" w:type="dxa"/>
            <w:noWrap/>
            <w:vAlign w:val="center"/>
          </w:tcPr>
          <w:p>
            <w:pPr>
              <w:spacing w:line="240" w:lineRule="auto"/>
              <w:ind w:firstLine="0"/>
              <w:jc w:val="center"/>
              <w:rPr>
                <w:rFonts w:ascii="宋体" w:eastAsia="宋体" w:cs="Times New Roman"/>
                <w:iCs/>
                <w:kern w:val="2"/>
                <w:sz w:val="21"/>
                <w:szCs w:val="21"/>
                <w:lang w:bidi="en-US"/>
              </w:rPr>
            </w:pPr>
            <w:r>
              <w:rPr>
                <w:rFonts w:ascii="宋体" w:eastAsia="宋体" w:cs="Times New Roman" w:hint="eastAsia"/>
                <w:iCs/>
                <w:kern w:val="2"/>
                <w:sz w:val="21"/>
                <w:szCs w:val="21"/>
                <w:lang w:bidi="en-US"/>
              </w:rPr>
              <w:t>否</w:t>
            </w:r>
          </w:p>
        </w:tc>
      </w:tr>
      <w:tr>
        <w:tblPrEx>
          <w:tblW w:w="8522" w:type="dxa"/>
          <w:jc w:val="left"/>
          <w:tblInd w:w="0" w:type="dxa"/>
          <w:tblLayout w:type="fixed"/>
          <w:tblCellMar>
            <w:top w:w="0" w:type="dxa"/>
            <w:left w:w="108" w:type="dxa"/>
            <w:bottom w:w="0" w:type="dxa"/>
            <w:right w:w="108" w:type="dxa"/>
          </w:tblCellMar>
        </w:tblPrEx>
        <w:trPr>
          <w:trHeight w:val="2641"/>
          <w:jc w:val="left"/>
        </w:trPr>
        <w:tc>
          <w:tcPr>
            <w:tcW w:w="438" w:type="dxa"/>
            <w:noWrap/>
            <w:vAlign w:val="center"/>
          </w:tcPr>
          <w:p>
            <w:pPr>
              <w:spacing w:line="240" w:lineRule="auto"/>
              <w:ind w:firstLine="0"/>
              <w:jc w:val="center"/>
              <w:rPr>
                <w:rFonts w:ascii="宋体" w:eastAsia="宋体" w:cs="Times New Roman"/>
                <w:kern w:val="2"/>
                <w:sz w:val="21"/>
              </w:rPr>
            </w:pPr>
            <w:r>
              <w:rPr>
                <w:rFonts w:ascii="宋体" w:eastAsia="宋体" w:cs="Times New Roman"/>
                <w:kern w:val="2"/>
                <w:sz w:val="21"/>
              </w:rPr>
              <w:t>7</w:t>
            </w:r>
          </w:p>
        </w:tc>
        <w:tc>
          <w:tcPr>
            <w:tcW w:w="1830"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b/>
                <w:kern w:val="2"/>
                <w:sz w:val="21"/>
              </w:rPr>
              <w:t>支付方式</w:t>
            </w:r>
          </w:p>
        </w:tc>
        <w:tc>
          <w:tcPr>
            <w:tcW w:w="2973" w:type="dxa"/>
            <w:tcBorders>
              <w:top w:val="single" w:sz="4" w:space="0" w:color="auto"/>
              <w:left w:val="single" w:sz="4" w:space="0" w:color="auto"/>
              <w:right w:val="single" w:sz="4" w:space="0" w:color="auto"/>
            </w:tcBorders>
            <w:noWrap/>
            <w:vAlign w:val="center"/>
          </w:tcPr>
          <w:p>
            <w:pPr>
              <w:autoSpaceDN w:val="0"/>
              <w:spacing w:line="240" w:lineRule="atLeast"/>
              <w:ind w:firstLine="0"/>
              <w:rPr>
                <w:rFonts w:ascii="Times New Roman" w:eastAsia="宋体" w:hAnsi="Times New Roman" w:cs="Times New Roman"/>
                <w:kern w:val="2"/>
                <w:sz w:val="21"/>
                <w:szCs w:val="21"/>
              </w:rPr>
            </w:pPr>
            <w:r>
              <w:rPr>
                <w:rFonts w:ascii="宋体" w:eastAsia="宋体" w:cs="宋体"/>
                <w:spacing w:val="1"/>
                <w:kern w:val="2"/>
                <w:sz w:val="21"/>
                <w:szCs w:val="21"/>
              </w:rPr>
              <w:t>甲方收到乙方的履约保证金（或履约保函）并在政府部门预算下达后</w:t>
            </w:r>
            <w:r>
              <w:rPr>
                <w:rFonts w:ascii="宋体" w:eastAsia="宋体" w:cs="宋体" w:hint="eastAsia"/>
                <w:spacing w:val="-2"/>
                <w:kern w:val="2"/>
                <w:sz w:val="21"/>
                <w:szCs w:val="21"/>
              </w:rPr>
              <w:t>10个工作日内，支付合同总价40%的首付</w:t>
            </w:r>
            <w:r>
              <w:rPr>
                <w:rFonts w:ascii="宋体" w:eastAsia="宋体" w:cs="宋体" w:hint="eastAsia"/>
                <w:spacing w:val="-1"/>
                <w:kern w:val="2"/>
                <w:sz w:val="21"/>
                <w:szCs w:val="21"/>
              </w:rPr>
              <w:t>款；甲方在</w:t>
            </w:r>
            <w:r>
              <w:rPr>
                <w:rFonts w:ascii="宋体" w:eastAsia="宋体" w:cs="宋体" w:hint="eastAsia"/>
                <w:spacing w:val="-2"/>
                <w:kern w:val="2"/>
                <w:sz w:val="21"/>
                <w:szCs w:val="21"/>
              </w:rPr>
              <w:t>2025年</w:t>
            </w:r>
            <w:r>
              <w:rPr>
                <w:rFonts w:ascii="宋体" w:eastAsia="宋体" w:cs="宋体"/>
                <w:spacing w:val="-2"/>
                <w:kern w:val="2"/>
                <w:sz w:val="21"/>
                <w:szCs w:val="21"/>
              </w:rPr>
              <w:t>9</w:t>
            </w:r>
            <w:r>
              <w:rPr>
                <w:rFonts w:ascii="宋体" w:eastAsia="宋体" w:cs="宋体" w:hint="eastAsia"/>
                <w:spacing w:val="-2"/>
                <w:kern w:val="2"/>
                <w:sz w:val="21"/>
                <w:szCs w:val="21"/>
              </w:rPr>
              <w:t>月30日前，向乙方支付合同总价 50%的合同款；乙方提供完成运维服务后，甲方向乙方支付合同总价10%的尾款</w:t>
            </w:r>
          </w:p>
        </w:tc>
        <w:tc>
          <w:tcPr>
            <w:tcW w:w="3281" w:type="dxa"/>
            <w:noWrap/>
            <w:vAlign w:val="center"/>
          </w:tcPr>
          <w:p>
            <w:pPr>
              <w:spacing w:line="240" w:lineRule="auto"/>
              <w:ind w:firstLine="0"/>
              <w:jc w:val="center"/>
              <w:rPr>
                <w:rFonts w:ascii="宋体" w:eastAsia="宋体" w:cs="宋体"/>
                <w:kern w:val="2"/>
                <w:sz w:val="21"/>
                <w:szCs w:val="21"/>
              </w:rPr>
            </w:pPr>
            <w:r>
              <w:rPr>
                <w:rFonts w:ascii="宋体" w:eastAsia="宋体" w:cs="宋体" w:hint="eastAsia"/>
                <w:kern w:val="2"/>
                <w:sz w:val="21"/>
                <w:szCs w:val="21"/>
              </w:rPr>
              <w:t>否</w:t>
            </w:r>
          </w:p>
        </w:tc>
      </w:tr>
    </w:tbl>
    <w:p>
      <w:pPr>
        <w:numPr>
          <w:ilvl w:val="0"/>
          <w:numId w:val="2"/>
        </w:numPr>
        <w:spacing w:line="560" w:lineRule="exact"/>
        <w:rPr>
          <w:rFonts w:ascii="宋体" w:eastAsia="宋体" w:cs="Times New Roman"/>
          <w:b/>
          <w:kern w:val="2"/>
          <w:sz w:val="32"/>
          <w:szCs w:val="32"/>
        </w:rPr>
      </w:pPr>
      <w:r>
        <w:rPr>
          <w:rFonts w:ascii="宋体" w:eastAsia="宋体" w:cs="Times New Roman" w:hint="eastAsia"/>
          <w:b/>
          <w:kern w:val="2"/>
          <w:sz w:val="32"/>
          <w:szCs w:val="32"/>
        </w:rPr>
        <w:t>项目概述</w:t>
      </w:r>
    </w:p>
    <w:tbl>
      <w:tblPr>
        <w:tblpPr w:leftFromText="180" w:rightFromText="180" w:vertAnchor="text" w:horzAnchor="page" w:tblpX="1794" w:tblpY="599"/>
        <w:tblOverlap w:val="neve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trPr>
        <w:tc>
          <w:tcPr>
            <w:tcW w:w="758" w:type="dxa"/>
            <w:tcBorders>
              <w:top w:val="single" w:sz="4" w:space="0" w:color="auto"/>
              <w:left w:val="single" w:sz="4" w:space="0" w:color="auto"/>
              <w:bottom w:val="single" w:sz="4" w:space="0" w:color="auto"/>
              <w:right w:val="single" w:sz="4" w:space="0" w:color="auto"/>
            </w:tcBorders>
            <w:shd w:val="clear" w:color="A6A6A6" w:fill="A6A6A6"/>
            <w:noWrap/>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noWrap/>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noWrap/>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说明</w:t>
            </w:r>
          </w:p>
        </w:tc>
      </w:tr>
      <w:tr>
        <w:tblPrEx>
          <w:tblW w:w="9061" w:type="dxa"/>
          <w:tblLayout w:type="fixed"/>
          <w:tblCellMar>
            <w:top w:w="0" w:type="dxa"/>
            <w:left w:w="108" w:type="dxa"/>
            <w:bottom w:w="0" w:type="dxa"/>
            <w:right w:w="108" w:type="dxa"/>
          </w:tblCellMar>
        </w:tblPrEx>
        <w:trPr>
          <w:trHeight w:val="841"/>
        </w:trPr>
        <w:tc>
          <w:tcPr>
            <w:tcW w:w="75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b/>
                <w:kern w:val="2"/>
                <w:sz w:val="21"/>
              </w:rPr>
              <w:t>1</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项目背景</w:t>
            </w:r>
          </w:p>
        </w:tc>
        <w:tc>
          <w:tcPr>
            <w:tcW w:w="5672" w:type="dxa"/>
            <w:tcBorders>
              <w:top w:val="single" w:sz="4" w:space="0" w:color="auto"/>
              <w:left w:val="single" w:sz="4" w:space="0" w:color="auto"/>
              <w:bottom w:val="single" w:sz="4" w:space="0" w:color="auto"/>
              <w:right w:val="single" w:sz="4" w:space="0" w:color="auto"/>
            </w:tcBorders>
            <w:noWrap/>
            <w:vAlign w:val="center"/>
          </w:tcPr>
          <w:p>
            <w:pPr>
              <w:autoSpaceDN w:val="0"/>
              <w:adjustRightInd w:val="0"/>
              <w:snapToGrid w:val="0"/>
              <w:spacing w:line="240" w:lineRule="atLeast"/>
              <w:ind w:firstLine="0"/>
              <w:rPr>
                <w:rFonts w:ascii="宋体" w:eastAsia="宋体" w:cs="Times New Roman"/>
                <w:kern w:val="2"/>
                <w:sz w:val="21"/>
                <w:szCs w:val="21"/>
              </w:rPr>
            </w:pPr>
            <w:r>
              <w:rPr>
                <w:rFonts w:ascii="宋体" w:eastAsia="宋体" w:cs="Times New Roman" w:hint="eastAsia"/>
                <w:kern w:val="2"/>
                <w:sz w:val="21"/>
                <w:szCs w:val="21"/>
              </w:rPr>
              <w:t>H986设备以辐射成像技术为核心，集电子技术、计算机技术、信息处理技术、控制技术、精密机械技术于一体的大型高科技装备。它利用辐射成像原理，运用X射线，获得完整的集装箱/车辆透视图像，实现在不开箱的情况下快速实施海关查验。</w:t>
            </w:r>
          </w:p>
          <w:p>
            <w:pPr>
              <w:autoSpaceDN w:val="0"/>
              <w:adjustRightInd w:val="0"/>
              <w:snapToGrid w:val="0"/>
              <w:spacing w:line="240" w:lineRule="atLeast"/>
              <w:ind w:firstLine="0"/>
              <w:rPr>
                <w:rFonts w:ascii="宋体" w:eastAsia="宋体" w:cs="Times New Roman"/>
                <w:kern w:val="2"/>
                <w:sz w:val="21"/>
                <w:szCs w:val="21"/>
              </w:rPr>
            </w:pPr>
            <w:r>
              <w:rPr>
                <w:rFonts w:ascii="宋体" w:eastAsia="宋体" w:cs="Times New Roman"/>
                <w:kern w:val="2"/>
                <w:sz w:val="21"/>
                <w:szCs w:val="21"/>
              </w:rPr>
              <w:t>H986系统在提升海关监管能力、加快货物通关速度方面发挥着重要作用，根据监管工作需要，为保障海关当前配备的H986系统正常运行，充分发挥设备效能，招标人拟为当前</w:t>
            </w:r>
            <w:r>
              <w:rPr>
                <w:rFonts w:ascii="宋体" w:eastAsia="宋体" w:cs="Times New Roman" w:hint="eastAsia"/>
                <w:kern w:val="2"/>
                <w:sz w:val="21"/>
                <w:szCs w:val="21"/>
              </w:rPr>
              <w:t>相关</w:t>
            </w:r>
            <w:r>
              <w:rPr>
                <w:rFonts w:ascii="宋体" w:eastAsia="宋体" w:cs="Times New Roman"/>
                <w:kern w:val="2"/>
                <w:sz w:val="21"/>
                <w:szCs w:val="21"/>
              </w:rPr>
              <w:t>海关所配H986系统（钴60放射源、电子感应加速器射线源、X光机射线源）采购年度运维服务</w:t>
            </w:r>
            <w:r>
              <w:rPr>
                <w:rFonts w:ascii="宋体" w:eastAsia="宋体" w:cs="Times New Roman" w:hint="eastAsia"/>
                <w:kern w:val="2"/>
                <w:sz w:val="21"/>
                <w:szCs w:val="21"/>
              </w:rPr>
              <w:t>。</w:t>
            </w:r>
          </w:p>
        </w:tc>
      </w:tr>
      <w:tr>
        <w:tblPrEx>
          <w:tblW w:w="9061" w:type="dxa"/>
          <w:tblLayout w:type="fixed"/>
          <w:tblCellMar>
            <w:top w:w="0" w:type="dxa"/>
            <w:left w:w="108" w:type="dxa"/>
            <w:bottom w:w="0" w:type="dxa"/>
            <w:right w:w="108" w:type="dxa"/>
          </w:tblCellMar>
        </w:tblPrEx>
        <w:trPr>
          <w:trHeight w:val="1002"/>
        </w:trPr>
        <w:tc>
          <w:tcPr>
            <w:tcW w:w="75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b/>
                <w:kern w:val="2"/>
                <w:sz w:val="21"/>
              </w:rPr>
              <w:t>2</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执行依据</w:t>
            </w:r>
          </w:p>
        </w:tc>
        <w:tc>
          <w:tcPr>
            <w:tcW w:w="5672" w:type="dxa"/>
            <w:tcBorders>
              <w:top w:val="single" w:sz="4" w:space="0" w:color="auto"/>
              <w:left w:val="single" w:sz="4" w:space="0" w:color="auto"/>
              <w:bottom w:val="single" w:sz="4" w:space="0" w:color="auto"/>
              <w:right w:val="single" w:sz="4" w:space="0" w:color="auto"/>
            </w:tcBorders>
            <w:noWrap/>
            <w:vAlign w:val="center"/>
          </w:tcPr>
          <w:p>
            <w:pPr>
              <w:autoSpaceDN w:val="0"/>
              <w:adjustRightInd w:val="0"/>
              <w:snapToGrid w:val="0"/>
              <w:spacing w:line="240" w:lineRule="exact"/>
              <w:ind w:firstLine="0"/>
              <w:rPr>
                <w:rFonts w:ascii="宋体" w:eastAsia="宋体" w:cs="Times New Roman"/>
                <w:kern w:val="2"/>
                <w:sz w:val="21"/>
                <w:szCs w:val="21"/>
              </w:rPr>
            </w:pPr>
            <w:r>
              <w:rPr>
                <w:rFonts w:ascii="宋体" w:eastAsia="宋体" w:cs="Times New Roman" w:hint="eastAsia"/>
                <w:kern w:val="2"/>
                <w:sz w:val="21"/>
                <w:szCs w:val="21"/>
              </w:rPr>
              <w:t>《</w:t>
            </w:r>
            <w:r>
              <w:rPr>
                <w:rFonts w:ascii="宋体" w:eastAsia="宋体" w:cs="Times New Roman"/>
                <w:kern w:val="2"/>
                <w:sz w:val="21"/>
                <w:szCs w:val="21"/>
              </w:rPr>
              <w:t>口岸监管司关于2024年本级预算支出细化方案及采购项目实施计划的请示</w:t>
            </w:r>
            <w:r>
              <w:rPr>
                <w:rFonts w:ascii="宋体" w:eastAsia="宋体" w:cs="Times New Roman" w:hint="eastAsia"/>
                <w:kern w:val="2"/>
                <w:sz w:val="21"/>
                <w:szCs w:val="21"/>
              </w:rPr>
              <w:t>》（署监签〔</w:t>
            </w:r>
            <w:r>
              <w:rPr>
                <w:rFonts w:ascii="Times New Roman" w:eastAsia="宋体" w:hAnsi="Times New Roman" w:cs="Times New Roman"/>
                <w:kern w:val="2"/>
                <w:sz w:val="21"/>
                <w:szCs w:val="21"/>
              </w:rPr>
              <w:t>2024</w:t>
            </w:r>
            <w:r>
              <w:rPr>
                <w:rFonts w:ascii="宋体" w:eastAsia="宋体" w:cs="Times New Roman" w:hint="eastAsia"/>
                <w:kern w:val="2"/>
                <w:sz w:val="21"/>
                <w:szCs w:val="21"/>
              </w:rPr>
              <w:t>〕</w:t>
            </w:r>
            <w:r>
              <w:rPr>
                <w:rFonts w:ascii="Times New Roman" w:eastAsia="宋体" w:hAnsi="Times New Roman" w:cs="Times New Roman"/>
                <w:kern w:val="2"/>
                <w:sz w:val="21"/>
                <w:szCs w:val="21"/>
              </w:rPr>
              <w:t>23</w:t>
            </w:r>
            <w:r>
              <w:rPr>
                <w:rFonts w:ascii="宋体" w:eastAsia="宋体" w:cs="Times New Roman" w:hint="eastAsia"/>
                <w:kern w:val="2"/>
                <w:sz w:val="21"/>
                <w:szCs w:val="21"/>
              </w:rPr>
              <w:t>号）</w:t>
            </w:r>
          </w:p>
        </w:tc>
      </w:tr>
      <w:tr>
        <w:tblPrEx>
          <w:tblW w:w="9061" w:type="dxa"/>
          <w:tblLayout w:type="fixed"/>
          <w:tblCellMar>
            <w:top w:w="0" w:type="dxa"/>
            <w:left w:w="108" w:type="dxa"/>
            <w:bottom w:w="0" w:type="dxa"/>
            <w:right w:w="108" w:type="dxa"/>
          </w:tblCellMar>
        </w:tblPrEx>
        <w:trPr>
          <w:trHeight w:val="416"/>
        </w:trPr>
        <w:tc>
          <w:tcPr>
            <w:tcW w:w="75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b/>
                <w:kern w:val="2"/>
                <w:sz w:val="21"/>
              </w:rPr>
              <w:t>3</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项目内容</w:t>
            </w:r>
          </w:p>
        </w:tc>
        <w:tc>
          <w:tcPr>
            <w:tcW w:w="5672" w:type="dxa"/>
            <w:tcBorders>
              <w:top w:val="single" w:sz="4" w:space="0" w:color="auto"/>
              <w:left w:val="single" w:sz="4" w:space="0" w:color="auto"/>
              <w:bottom w:val="single" w:sz="4" w:space="0" w:color="auto"/>
              <w:right w:val="single" w:sz="4" w:space="0" w:color="auto"/>
            </w:tcBorders>
            <w:noWrap/>
            <w:vAlign w:val="center"/>
          </w:tcPr>
          <w:p>
            <w:pPr>
              <w:autoSpaceDN w:val="0"/>
              <w:adjustRightInd w:val="0"/>
              <w:snapToGrid w:val="0"/>
              <w:spacing w:line="240" w:lineRule="exact"/>
              <w:ind w:firstLine="0"/>
              <w:jc w:val="left"/>
              <w:rPr>
                <w:rFonts w:ascii="宋体" w:eastAsia="宋体" w:cs="Times New Roman"/>
                <w:kern w:val="2"/>
                <w:sz w:val="21"/>
                <w:szCs w:val="21"/>
              </w:rPr>
            </w:pPr>
            <w:r>
              <w:rPr>
                <w:rFonts w:ascii="宋体" w:eastAsia="宋体" w:cs="Times New Roman"/>
                <w:kern w:val="2"/>
                <w:sz w:val="21"/>
                <w:szCs w:val="21"/>
              </w:rPr>
              <w:t>投标人需建立全覆盖的运维服务网络体系，对本项目所包括的所有H986系统进行全面技术保障，提供维护保养、故障维修、系统升级、辐射监测、专业培训等服务，保障海关的H986系统安全、可靠运行，为海关监管工作提供坚实保障</w:t>
            </w:r>
            <w:r>
              <w:rPr>
                <w:rFonts w:ascii="宋体" w:eastAsia="宋体" w:cs="Times New Roman" w:hint="eastAsia"/>
                <w:kern w:val="2"/>
                <w:sz w:val="21"/>
                <w:szCs w:val="21"/>
              </w:rPr>
              <w:t>。本项目</w:t>
            </w:r>
            <w:r>
              <w:rPr>
                <w:rFonts w:ascii="Times New Roman" w:eastAsia="宋体" w:hAnsi="Times New Roman" w:cs="Times New Roman"/>
                <w:kern w:val="2"/>
                <w:sz w:val="21"/>
              </w:rPr>
              <w:t>H</w:t>
            </w:r>
            <w:r>
              <w:rPr>
                <w:rFonts w:ascii="宋体" w:eastAsia="宋体" w:cs="Times New Roman"/>
                <w:kern w:val="2"/>
                <w:sz w:val="21"/>
                <w:szCs w:val="21"/>
              </w:rPr>
              <w:t>986系统（钴60放射源、电子感应加速器射线源、X光机射线源）</w:t>
            </w:r>
            <w:r>
              <w:rPr>
                <w:rFonts w:ascii="宋体" w:eastAsia="宋体" w:cs="Times New Roman" w:hint="eastAsia"/>
                <w:kern w:val="2"/>
                <w:sz w:val="21"/>
                <w:szCs w:val="21"/>
              </w:rPr>
              <w:t>共计56</w:t>
            </w:r>
            <w:r>
              <w:rPr>
                <w:rFonts w:ascii="宋体" w:eastAsia="宋体" w:cs="Times New Roman"/>
                <w:kern w:val="2"/>
                <w:sz w:val="21"/>
                <w:szCs w:val="21"/>
              </w:rPr>
              <w:t>套</w:t>
            </w:r>
            <w:r>
              <w:rPr>
                <w:rFonts w:ascii="宋体" w:eastAsia="宋体" w:cs="Times New Roman" w:hint="eastAsia"/>
                <w:kern w:val="2"/>
                <w:sz w:val="21"/>
                <w:szCs w:val="21"/>
              </w:rPr>
              <w:t>，</w:t>
            </w:r>
            <w:r>
              <w:rPr>
                <w:rFonts w:ascii="宋体" w:eastAsia="宋体" w:cs="Times New Roman"/>
                <w:kern w:val="2"/>
                <w:sz w:val="21"/>
                <w:szCs w:val="21"/>
              </w:rPr>
              <w:t>安装在</w:t>
            </w:r>
            <w:r>
              <w:rPr>
                <w:rFonts w:ascii="宋体" w:eastAsia="宋体" w:cs="Times New Roman" w:hint="eastAsia"/>
                <w:kern w:val="2"/>
                <w:sz w:val="21"/>
                <w:szCs w:val="21"/>
              </w:rPr>
              <w:t>20</w:t>
            </w:r>
            <w:r>
              <w:rPr>
                <w:rFonts w:ascii="宋体" w:eastAsia="宋体" w:cs="Times New Roman"/>
                <w:kern w:val="2"/>
                <w:sz w:val="21"/>
                <w:szCs w:val="21"/>
              </w:rPr>
              <w:t>个直属海关的监管业务现场。</w:t>
            </w:r>
            <w:r>
              <w:rPr>
                <w:rFonts w:ascii="宋体" w:eastAsia="宋体" w:cs="Times New Roman" w:hint="eastAsia"/>
                <w:kern w:val="2"/>
                <w:sz w:val="21"/>
                <w:szCs w:val="21"/>
              </w:rPr>
              <w:t xml:space="preserve">                                                            </w:t>
            </w:r>
            <w:r>
              <w:rPr>
                <w:rFonts w:ascii="宋体" w:eastAsia="宋体" w:cs="Times New Roman"/>
                <w:kern w:val="2"/>
                <w:sz w:val="21"/>
                <w:szCs w:val="21"/>
              </w:rPr>
              <w:t>投标人根据海关实际需求，免费提供1套非列车式H986系统的搬迁服务（包括拆卸、运输、安装、调试等），协助办理相关手续。</w:t>
            </w:r>
          </w:p>
        </w:tc>
      </w:tr>
      <w:tr>
        <w:tblPrEx>
          <w:tblW w:w="9061" w:type="dxa"/>
          <w:tblLayout w:type="fixed"/>
          <w:tblCellMar>
            <w:top w:w="0" w:type="dxa"/>
            <w:left w:w="108" w:type="dxa"/>
            <w:bottom w:w="0" w:type="dxa"/>
            <w:right w:w="108" w:type="dxa"/>
          </w:tblCellMar>
        </w:tblPrEx>
        <w:trPr>
          <w:trHeight w:val="568"/>
        </w:trPr>
        <w:tc>
          <w:tcPr>
            <w:tcW w:w="75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4</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项目范围</w:t>
            </w:r>
          </w:p>
        </w:tc>
        <w:tc>
          <w:tcPr>
            <w:tcW w:w="5672" w:type="dxa"/>
            <w:tcBorders>
              <w:top w:val="single" w:sz="4" w:space="0" w:color="auto"/>
              <w:left w:val="single" w:sz="4" w:space="0" w:color="auto"/>
              <w:bottom w:val="single" w:sz="4" w:space="0" w:color="auto"/>
              <w:right w:val="single" w:sz="4" w:space="0" w:color="auto"/>
            </w:tcBorders>
            <w:noWrap/>
            <w:vAlign w:val="center"/>
          </w:tcPr>
          <w:p>
            <w:pPr>
              <w:spacing w:line="240" w:lineRule="exact"/>
              <w:ind w:firstLine="0"/>
              <w:rPr>
                <w:rFonts w:ascii="宋体" w:eastAsia="宋体" w:cs="Times New Roman"/>
                <w:kern w:val="2"/>
                <w:sz w:val="21"/>
                <w:szCs w:val="21"/>
                <w:lang w:bidi="en-US"/>
              </w:rPr>
            </w:pPr>
            <w:r>
              <w:rPr>
                <w:rFonts w:ascii="Times New Roman" w:eastAsia="宋体" w:hAnsi="Times New Roman" w:cs="Times New Roman" w:hint="eastAsia"/>
                <w:kern w:val="2"/>
                <w:sz w:val="21"/>
                <w:szCs w:val="21"/>
                <w:lang w:bidi="en-US"/>
              </w:rPr>
              <w:t>设备详见附件1《设备明细表》。</w:t>
            </w:r>
            <w:r>
              <w:rPr>
                <w:rFonts w:ascii="Times New Roman" w:eastAsia="宋体" w:hAnsi="Times New Roman" w:cs="Times New Roman"/>
                <w:kern w:val="2"/>
                <w:sz w:val="21"/>
                <w:szCs w:val="21"/>
                <w:lang w:bidi="en-US"/>
              </w:rPr>
              <w:t>运维服务范围主要包括：射线源分系统（钴60放射源、电子感应加速器射线源、X光机射线源）、探测器分系统、扫描装置分系统、运行检查分系统、系统监控部分（含扫描控制分系统、辐射安全分系统）、数据管理分系统及其他配套分系统。</w:t>
            </w:r>
          </w:p>
        </w:tc>
      </w:tr>
      <w:tr>
        <w:tblPrEx>
          <w:tblW w:w="9061" w:type="dxa"/>
          <w:tblLayout w:type="fixed"/>
          <w:tblCellMar>
            <w:top w:w="0" w:type="dxa"/>
            <w:left w:w="108" w:type="dxa"/>
            <w:bottom w:w="0" w:type="dxa"/>
            <w:right w:w="108" w:type="dxa"/>
          </w:tblCellMar>
        </w:tblPrEx>
        <w:trPr>
          <w:trHeight w:val="1339"/>
        </w:trPr>
        <w:tc>
          <w:tcPr>
            <w:tcW w:w="75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5</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需求分析</w:t>
            </w:r>
          </w:p>
        </w:tc>
        <w:tc>
          <w:tcPr>
            <w:tcW w:w="5672" w:type="dxa"/>
            <w:tcBorders>
              <w:top w:val="single" w:sz="4" w:space="0" w:color="auto"/>
              <w:left w:val="single" w:sz="4" w:space="0" w:color="auto"/>
              <w:bottom w:val="single" w:sz="4" w:space="0" w:color="auto"/>
              <w:right w:val="single" w:sz="4" w:space="0" w:color="auto"/>
            </w:tcBorders>
            <w:noWrap/>
            <w:vAlign w:val="center"/>
          </w:tcPr>
          <w:p>
            <w:pPr>
              <w:spacing w:line="240" w:lineRule="atLeast"/>
              <w:ind w:firstLine="0"/>
              <w:rPr>
                <w:rFonts w:ascii="宋体" w:eastAsia="宋体" w:cs="Times New Roman"/>
                <w:kern w:val="2"/>
                <w:sz w:val="21"/>
                <w:szCs w:val="21"/>
                <w:lang w:bidi="en-US"/>
              </w:rPr>
            </w:pPr>
            <w:r>
              <w:rPr>
                <w:rFonts w:ascii="宋体" w:eastAsia="宋体" w:cs="Times New Roman"/>
                <w:kern w:val="2"/>
                <w:sz w:val="21"/>
                <w:szCs w:val="21"/>
                <w:lang w:bidi="en-US"/>
              </w:rPr>
              <w:t>对本项目所包括的所有H986系统进行全面技术保障，提供维护保养、故障维修、辐射监测及专业培训等服务，保障海关的H986系统安全、可靠运行，为海关监管工作提供坚实保障。</w:t>
            </w:r>
          </w:p>
        </w:tc>
      </w:tr>
      <w:tr>
        <w:tblPrEx>
          <w:tblW w:w="9061" w:type="dxa"/>
          <w:tblLayout w:type="fixed"/>
          <w:tblCellMar>
            <w:top w:w="0" w:type="dxa"/>
            <w:left w:w="108" w:type="dxa"/>
            <w:bottom w:w="0" w:type="dxa"/>
            <w:right w:w="108" w:type="dxa"/>
          </w:tblCellMar>
        </w:tblPrEx>
        <w:trPr>
          <w:trHeight w:val="481"/>
        </w:trPr>
        <w:tc>
          <w:tcPr>
            <w:tcW w:w="75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6</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与前期项目的关系</w:t>
            </w:r>
          </w:p>
        </w:tc>
        <w:tc>
          <w:tcPr>
            <w:tcW w:w="5672" w:type="dxa"/>
            <w:tcBorders>
              <w:top w:val="single" w:sz="4" w:space="0" w:color="auto"/>
              <w:left w:val="single" w:sz="4" w:space="0" w:color="auto"/>
              <w:bottom w:val="single" w:sz="4" w:space="0" w:color="auto"/>
              <w:right w:val="single" w:sz="4" w:space="0" w:color="auto"/>
            </w:tcBorders>
            <w:noWrap/>
            <w:vAlign w:val="center"/>
          </w:tcPr>
          <w:p>
            <w:pPr>
              <w:spacing w:line="240" w:lineRule="atLeast"/>
              <w:ind w:firstLine="0"/>
              <w:rPr>
                <w:rFonts w:ascii="宋体" w:eastAsia="宋体" w:cs="Times New Roman"/>
                <w:kern w:val="2"/>
                <w:sz w:val="21"/>
                <w:szCs w:val="21"/>
                <w:lang w:bidi="en-US"/>
              </w:rPr>
            </w:pPr>
            <w:r>
              <w:rPr>
                <w:rFonts w:ascii="宋体" w:eastAsia="宋体" w:cs="Times New Roman" w:hint="eastAsia"/>
                <w:kern w:val="2"/>
                <w:sz w:val="21"/>
                <w:szCs w:val="21"/>
                <w:lang w:bidi="en-US"/>
              </w:rPr>
              <w:t>无前期项目</w:t>
            </w:r>
          </w:p>
        </w:tc>
      </w:tr>
      <w:tr>
        <w:tblPrEx>
          <w:tblW w:w="9061" w:type="dxa"/>
          <w:tblLayout w:type="fixed"/>
          <w:tblCellMar>
            <w:top w:w="0" w:type="dxa"/>
            <w:left w:w="108" w:type="dxa"/>
            <w:bottom w:w="0" w:type="dxa"/>
            <w:right w:w="108" w:type="dxa"/>
          </w:tblCellMar>
        </w:tblPrEx>
        <w:trPr>
          <w:trHeight w:val="1409"/>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rPr>
            </w:pPr>
            <w:r>
              <w:rPr>
                <w:rFonts w:ascii="宋体" w:eastAsia="宋体" w:hint="eastAsia"/>
              </w:rPr>
              <w:t>7</w:t>
            </w:r>
          </w:p>
        </w:tc>
        <w:tc>
          <w:tcPr>
            <w:tcW w:w="2631" w:type="dxa"/>
            <w:tcBorders>
              <w:top w:val="single" w:sz="4" w:space="0" w:color="auto"/>
              <w:left w:val="single" w:sz="4" w:space="0" w:color="auto"/>
              <w:bottom w:val="single" w:sz="4" w:space="0" w:color="auto"/>
              <w:right w:val="single" w:sz="4" w:space="0" w:color="auto"/>
            </w:tcBorders>
            <w:noWrap/>
            <w:vAlign w:val="center"/>
          </w:tcPr>
          <w:p>
            <w:pPr>
              <w:ind w:firstLine="0"/>
              <w:rPr>
                <w:rFonts w:ascii="宋体" w:eastAsia="宋体"/>
                <w:b/>
              </w:rPr>
            </w:pPr>
            <w:r>
              <w:rPr>
                <w:rFonts w:ascii="宋体" w:eastAsia="宋体" w:hint="eastAsia"/>
                <w:b/>
              </w:rPr>
              <w:t>项目履约时间</w:t>
            </w:r>
          </w:p>
        </w:tc>
        <w:tc>
          <w:tcPr>
            <w:tcW w:w="5672" w:type="dxa"/>
            <w:tcBorders>
              <w:top w:val="single" w:sz="4" w:space="0" w:color="auto"/>
              <w:left w:val="single" w:sz="4" w:space="0" w:color="auto"/>
              <w:bottom w:val="single" w:sz="4" w:space="0" w:color="auto"/>
              <w:right w:val="single" w:sz="4" w:space="0" w:color="auto"/>
            </w:tcBorders>
            <w:noWrap/>
            <w:vAlign w:val="center"/>
          </w:tcPr>
          <w:p>
            <w:pPr>
              <w:autoSpaceDN w:val="0"/>
              <w:spacing w:line="240" w:lineRule="atLeast"/>
              <w:ind w:firstLine="0"/>
              <w:rPr>
                <w:rFonts w:ascii="Times New Roman" w:eastAsia="宋体" w:hAnsi="Times New Roman" w:cs="Times New Roman"/>
                <w:kern w:val="2"/>
                <w:sz w:val="21"/>
              </w:rPr>
            </w:pPr>
            <w:r>
              <w:rPr>
                <w:rFonts w:ascii="宋体" w:eastAsia="宋体" w:cs="宋体" w:hint="eastAsia"/>
                <w:kern w:val="2"/>
                <w:sz w:val="21"/>
                <w:szCs w:val="21"/>
                <w:lang w:bidi="en-US"/>
              </w:rPr>
              <w:t>★</w:t>
            </w:r>
            <w:r>
              <w:rPr>
                <w:rFonts w:ascii="宋体" w:eastAsia="宋体" w:cs="Times New Roman" w:hint="eastAsia"/>
                <w:kern w:val="2"/>
                <w:sz w:val="21"/>
                <w:szCs w:val="21"/>
                <w:lang w:bidi="en-US"/>
              </w:rPr>
              <w:t>本项目运维时间为12个月，</w:t>
            </w:r>
            <w:r>
              <w:rPr>
                <w:rFonts w:ascii="宋体" w:eastAsia="宋体" w:cs="Times New Roman"/>
                <w:kern w:val="2"/>
                <w:sz w:val="21"/>
                <w:szCs w:val="21"/>
                <w:lang w:bidi="en-US"/>
              </w:rPr>
              <w:t>运维服务起始时间从运维合同签订之日起计算</w:t>
            </w:r>
            <w:r>
              <w:rPr>
                <w:rFonts w:ascii="宋体" w:eastAsia="宋体" w:cs="Times New Roman" w:hint="eastAsia"/>
                <w:kern w:val="2"/>
                <w:sz w:val="21"/>
                <w:szCs w:val="21"/>
                <w:lang w:bidi="en-US"/>
              </w:rPr>
              <w:t>,具体</w:t>
            </w:r>
            <w:r>
              <w:rPr>
                <w:rFonts w:ascii="宋体" w:eastAsia="宋体" w:cs="Times New Roman"/>
                <w:kern w:val="2"/>
                <w:sz w:val="21"/>
                <w:szCs w:val="21"/>
                <w:lang w:bidi="en-US"/>
              </w:rPr>
              <w:t>见附件1《设备明细表》</w:t>
            </w:r>
            <w:r>
              <w:rPr>
                <w:rFonts w:ascii="宋体" w:eastAsia="宋体" w:cs="Times New Roman" w:hint="eastAsia"/>
                <w:kern w:val="2"/>
                <w:sz w:val="21"/>
                <w:szCs w:val="21"/>
                <w:lang w:bidi="en-US"/>
              </w:rPr>
              <w:t>。</w:t>
            </w:r>
            <w:r>
              <w:rPr>
                <w:rFonts w:ascii="方正楷体_GBK" w:eastAsia="方正楷体_GBK" w:cs="Times New Roman" w:hint="eastAsia"/>
                <w:b/>
                <w:bCs/>
                <w:kern w:val="2"/>
                <w:sz w:val="21"/>
                <w:lang w:bidi="en-US"/>
              </w:rPr>
              <w:t>（提供加盖供应商公章的相关承诺书）</w:t>
            </w:r>
          </w:p>
        </w:tc>
      </w:tr>
    </w:tbl>
    <w:p>
      <w:pPr>
        <w:numPr>
          <w:ilvl w:val="0"/>
          <w:numId w:val="2"/>
        </w:numPr>
        <w:spacing w:line="240" w:lineRule="auto"/>
        <w:rPr>
          <w:rFonts w:ascii="宋体" w:eastAsia="宋体" w:cs="Times New Roman"/>
          <w:b/>
          <w:kern w:val="2"/>
          <w:sz w:val="32"/>
          <w:szCs w:val="32"/>
        </w:rPr>
      </w:pPr>
      <w:r>
        <w:rPr>
          <w:rFonts w:ascii="宋体" w:eastAsia="宋体" w:cs="Times New Roman" w:hint="eastAsia"/>
          <w:b/>
          <w:kern w:val="2"/>
          <w:sz w:val="32"/>
          <w:szCs w:val="32"/>
        </w:rPr>
        <w:t>集成需求</w:t>
      </w:r>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48"/>
        <w:gridCol w:w="1661"/>
        <w:gridCol w:w="4197"/>
        <w:gridCol w:w="1716"/>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948"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spacing w:line="240" w:lineRule="auto"/>
              <w:ind w:firstLine="0"/>
              <w:jc w:val="center"/>
              <w:rPr>
                <w:rFonts w:ascii="宋体" w:eastAsia="宋体" w:cs="Times New Roman"/>
                <w:kern w:val="2"/>
                <w:sz w:val="21"/>
              </w:rPr>
            </w:pPr>
            <w:r>
              <w:rPr>
                <w:rFonts w:ascii="宋体" w:eastAsia="宋体" w:cs="Times New Roman" w:hint="eastAsia"/>
                <w:b/>
                <w:kern w:val="2"/>
                <w:sz w:val="21"/>
              </w:rPr>
              <w:t>序号</w:t>
            </w:r>
          </w:p>
        </w:tc>
        <w:tc>
          <w:tcPr>
            <w:tcW w:w="1661"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内容</w:t>
            </w:r>
          </w:p>
        </w:tc>
        <w:tc>
          <w:tcPr>
            <w:tcW w:w="4197"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说明</w:t>
            </w:r>
          </w:p>
        </w:tc>
        <w:tc>
          <w:tcPr>
            <w:tcW w:w="1716"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spacing w:line="240" w:lineRule="auto"/>
              <w:ind w:firstLine="0"/>
              <w:jc w:val="center"/>
              <w:rPr>
                <w:rFonts w:ascii="宋体" w:eastAsia="宋体" w:cs="Times New Roman"/>
                <w:b/>
                <w:kern w:val="2"/>
                <w:sz w:val="21"/>
              </w:rPr>
            </w:pPr>
            <w:r>
              <w:rPr>
                <w:rFonts w:ascii="宋体" w:eastAsia="宋体" w:cs="Times New Roman"/>
                <w:b/>
                <w:kern w:val="2"/>
                <w:sz w:val="21"/>
              </w:rPr>
              <w:t>证明材料要求</w:t>
            </w:r>
          </w:p>
        </w:tc>
      </w:tr>
      <w:tr>
        <w:tblPrEx>
          <w:tblW w:w="8522" w:type="dxa"/>
          <w:jc w:val="left"/>
          <w:tblInd w:w="0" w:type="dxa"/>
          <w:tblLayout w:type="fixed"/>
          <w:tblCellMar>
            <w:top w:w="0" w:type="dxa"/>
            <w:left w:w="108" w:type="dxa"/>
            <w:bottom w:w="0" w:type="dxa"/>
            <w:right w:w="108" w:type="dxa"/>
          </w:tblCellMar>
        </w:tblPrEx>
        <w:trPr>
          <w:trHeight w:val="797"/>
          <w:jc w:val="left"/>
        </w:trPr>
        <w:tc>
          <w:tcPr>
            <w:tcW w:w="948" w:type="dxa"/>
            <w:noWrap/>
            <w:vAlign w:val="center"/>
          </w:tcPr>
          <w:p>
            <w:pPr>
              <w:spacing w:line="240" w:lineRule="auto"/>
              <w:ind w:firstLine="0"/>
              <w:jc w:val="center"/>
              <w:rPr>
                <w:rFonts w:ascii="宋体" w:eastAsia="宋体" w:cs="Times New Roman"/>
                <w:kern w:val="2"/>
                <w:sz w:val="21"/>
              </w:rPr>
            </w:pPr>
            <w:r>
              <w:rPr>
                <w:rFonts w:ascii="宋体" w:eastAsia="宋体" w:cs="Times New Roman" w:hint="eastAsia"/>
                <w:b/>
                <w:kern w:val="2"/>
                <w:sz w:val="21"/>
              </w:rPr>
              <w:t>1</w:t>
            </w:r>
          </w:p>
        </w:tc>
        <w:tc>
          <w:tcPr>
            <w:tcW w:w="1661"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业务需求</w:t>
            </w:r>
          </w:p>
        </w:tc>
        <w:tc>
          <w:tcPr>
            <w:tcW w:w="4197" w:type="dxa"/>
            <w:tcBorders>
              <w:top w:val="single" w:sz="4" w:space="0" w:color="auto"/>
              <w:left w:val="single" w:sz="4" w:space="0" w:color="auto"/>
              <w:right w:val="single" w:sz="4" w:space="0" w:color="auto"/>
            </w:tcBorders>
            <w:noWrap/>
            <w:vAlign w:val="center"/>
          </w:tcPr>
          <w:p>
            <w:pPr>
              <w:spacing w:line="240" w:lineRule="exact"/>
              <w:ind w:firstLine="0"/>
              <w:jc w:val="center"/>
              <w:rPr>
                <w:rFonts w:ascii="宋体" w:eastAsia="宋体" w:cs="Times New Roman"/>
                <w:kern w:val="2"/>
                <w:sz w:val="21"/>
                <w:szCs w:val="21"/>
                <w:lang w:bidi="en-US"/>
              </w:rPr>
            </w:pPr>
            <w:r>
              <w:rPr>
                <w:rFonts w:ascii="宋体" w:eastAsia="宋体" w:cs="Times New Roman" w:hint="eastAsia"/>
                <w:kern w:val="2"/>
                <w:sz w:val="21"/>
                <w:szCs w:val="21"/>
              </w:rPr>
              <w:t>无</w:t>
            </w:r>
          </w:p>
        </w:tc>
        <w:tc>
          <w:tcPr>
            <w:tcW w:w="1716" w:type="dxa"/>
            <w:noWrap/>
            <w:vAlign w:val="center"/>
          </w:tcPr>
          <w:p>
            <w:pPr>
              <w:spacing w:line="240" w:lineRule="auto"/>
              <w:ind w:firstLine="0"/>
              <w:jc w:val="center"/>
              <w:rPr>
                <w:rFonts w:ascii="宋体" w:eastAsia="宋体" w:cs="Times New Roman"/>
                <w:kern w:val="2"/>
                <w:sz w:val="18"/>
                <w:szCs w:val="18"/>
                <w:lang w:bidi="en-US"/>
              </w:rPr>
            </w:pPr>
            <w:r>
              <w:rPr>
                <w:rFonts w:ascii="宋体" w:eastAsia="宋体" w:cs="Times New Roman" w:hint="eastAsia"/>
                <w:kern w:val="2"/>
                <w:sz w:val="18"/>
                <w:szCs w:val="18"/>
                <w:lang w:bidi="en-US"/>
              </w:rPr>
              <w:t>否</w:t>
            </w:r>
          </w:p>
        </w:tc>
      </w:tr>
      <w:tr>
        <w:tblPrEx>
          <w:tblW w:w="8522" w:type="dxa"/>
          <w:jc w:val="left"/>
          <w:tblInd w:w="0" w:type="dxa"/>
          <w:tblLayout w:type="fixed"/>
          <w:tblCellMar>
            <w:top w:w="0" w:type="dxa"/>
            <w:left w:w="108" w:type="dxa"/>
            <w:bottom w:w="0" w:type="dxa"/>
            <w:right w:w="108" w:type="dxa"/>
          </w:tblCellMar>
        </w:tblPrEx>
        <w:trPr>
          <w:trHeight w:val="132"/>
          <w:jc w:val="left"/>
        </w:trPr>
        <w:tc>
          <w:tcPr>
            <w:tcW w:w="948" w:type="dxa"/>
            <w:vMerge w:val="restart"/>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b/>
                <w:kern w:val="2"/>
                <w:sz w:val="21"/>
              </w:rPr>
              <w:t>2</w:t>
            </w:r>
          </w:p>
        </w:tc>
        <w:tc>
          <w:tcPr>
            <w:tcW w:w="1661" w:type="dxa"/>
            <w:vMerge w:val="restart"/>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技术需求</w:t>
            </w:r>
          </w:p>
        </w:tc>
        <w:tc>
          <w:tcPr>
            <w:tcW w:w="4197" w:type="dxa"/>
            <w:tcBorders>
              <w:top w:val="single" w:sz="4" w:space="0" w:color="auto"/>
              <w:left w:val="single" w:sz="4" w:space="0" w:color="auto"/>
              <w:bottom w:val="single" w:sz="4" w:space="0" w:color="auto"/>
              <w:right w:val="single" w:sz="4" w:space="0" w:color="auto"/>
            </w:tcBorders>
            <w:noWrap/>
            <w:vAlign w:val="center"/>
          </w:tcPr>
          <w:p>
            <w:pPr>
              <w:spacing w:line="240" w:lineRule="exact"/>
              <w:ind w:firstLine="0"/>
              <w:jc w:val="left"/>
              <w:rPr>
                <w:rFonts w:ascii="宋体" w:eastAsia="宋体" w:cs="宋体"/>
                <w:spacing w:val="5"/>
                <w:sz w:val="21"/>
                <w:szCs w:val="21"/>
              </w:rPr>
            </w:pPr>
            <w:r>
              <w:rPr>
                <w:rFonts w:ascii="宋体" w:eastAsia="宋体" w:cs="宋体" w:hint="eastAsia"/>
                <w:spacing w:val="5"/>
                <w:sz w:val="21"/>
                <w:szCs w:val="21"/>
              </w:rPr>
              <w:t>1、</w:t>
            </w:r>
            <w:r>
              <w:rPr>
                <w:rFonts w:ascii="宋体" w:eastAsia="宋体" w:cs="宋体"/>
                <w:spacing w:val="5"/>
                <w:sz w:val="21"/>
                <w:szCs w:val="21"/>
              </w:rPr>
              <w:t>投标人要有长期稳定的专业维护团队，</w:t>
            </w:r>
          </w:p>
          <w:p>
            <w:pPr>
              <w:autoSpaceDN w:val="0"/>
              <w:spacing w:line="240" w:lineRule="atLeast"/>
              <w:ind w:firstLine="0"/>
              <w:rPr>
                <w:rFonts w:ascii="宋体" w:eastAsia="宋体" w:cs="宋体"/>
                <w:kern w:val="2"/>
                <w:sz w:val="21"/>
                <w:szCs w:val="21"/>
                <w:lang w:bidi="en-US"/>
              </w:rPr>
            </w:pPr>
            <w:r>
              <w:rPr>
                <w:rFonts w:ascii="宋体" w:eastAsia="宋体" w:cs="宋体" w:hint="eastAsia"/>
                <w:kern w:val="2"/>
                <w:sz w:val="21"/>
                <w:szCs w:val="21"/>
                <w:lang w:bidi="en-US"/>
              </w:rPr>
              <w:t>了解熟悉业务特点，并提供运维服务团队配置名单。</w:t>
            </w:r>
          </w:p>
          <w:p>
            <w:pPr>
              <w:spacing w:line="240" w:lineRule="exact"/>
              <w:ind w:firstLine="0"/>
              <w:jc w:val="left"/>
              <w:rPr>
                <w:rFonts w:ascii="方正楷体_GBK" w:eastAsia="方正楷体_GBK" w:cs="宋体"/>
                <w:b/>
                <w:bCs/>
                <w:spacing w:val="5"/>
                <w:sz w:val="21"/>
                <w:szCs w:val="21"/>
              </w:rPr>
            </w:pPr>
            <w:r>
              <w:rPr>
                <w:rFonts w:ascii="宋体" w:eastAsia="宋体" w:cs="宋体" w:hint="eastAsia"/>
                <w:spacing w:val="5"/>
                <w:sz w:val="21"/>
                <w:szCs w:val="21"/>
              </w:rPr>
              <w:t>2、</w:t>
            </w:r>
            <w:r>
              <w:rPr>
                <w:rFonts w:ascii="宋体" w:eastAsia="宋体" w:cs="宋体"/>
                <w:spacing w:val="5"/>
                <w:sz w:val="21"/>
                <w:szCs w:val="21"/>
              </w:rPr>
              <w:t>赴现场开展维修维护作业的工程师应具备放射工作人员资质，持有《辐射安全与防护培训合格证书》。特种作业（如电工作业等）操作需持相关资质证书。</w:t>
            </w:r>
          </w:p>
        </w:tc>
        <w:tc>
          <w:tcPr>
            <w:tcW w:w="1716" w:type="dxa"/>
            <w:tcBorders>
              <w:top w:val="single" w:sz="4" w:space="0" w:color="auto"/>
              <w:left w:val="single" w:sz="4" w:space="0" w:color="auto"/>
              <w:bottom w:val="single" w:sz="4" w:space="0" w:color="auto"/>
              <w:right w:val="single" w:sz="4" w:space="0" w:color="auto"/>
            </w:tcBorders>
            <w:noWrap/>
            <w:vAlign w:val="center"/>
          </w:tcPr>
          <w:p>
            <w:pPr>
              <w:autoSpaceDN w:val="0"/>
              <w:spacing w:line="240" w:lineRule="exact"/>
              <w:ind w:firstLine="0"/>
              <w:rPr>
                <w:rFonts w:ascii="Times New Roman" w:eastAsia="宋体" w:hAnsi="Times New Roman" w:cs="Times New Roman"/>
                <w:kern w:val="2"/>
                <w:sz w:val="21"/>
              </w:rPr>
            </w:pPr>
            <w:r>
              <w:rPr>
                <w:rFonts w:ascii="宋体" w:eastAsia="宋体" w:cs="宋体" w:hint="eastAsia"/>
                <w:spacing w:val="5"/>
                <w:kern w:val="2"/>
                <w:sz w:val="21"/>
                <w:szCs w:val="21"/>
              </w:rPr>
              <w:t>需提供加盖投标人公章的运维服务团队配置名单（包含在预防性维护方案中）、《辐射安全与防护培训合格证书》、特种作业操作需持证书等相关证明材料复印件</w:t>
            </w:r>
          </w:p>
        </w:tc>
      </w:tr>
      <w:tr>
        <w:tblPrEx>
          <w:tblW w:w="8522" w:type="dxa"/>
          <w:jc w:val="left"/>
          <w:tblInd w:w="0" w:type="dxa"/>
          <w:tblLayout w:type="fixed"/>
          <w:tblCellMar>
            <w:top w:w="0" w:type="dxa"/>
            <w:left w:w="108" w:type="dxa"/>
            <w:bottom w:w="0" w:type="dxa"/>
            <w:right w:w="108" w:type="dxa"/>
          </w:tblCellMar>
        </w:tblPrEx>
        <w:trPr>
          <w:trHeight w:val="469"/>
          <w:jc w:val="left"/>
        </w:trPr>
        <w:tc>
          <w:tcPr>
            <w:tcW w:w="948" w:type="dxa"/>
            <w:vMerge/>
            <w:noWrap/>
            <w:vAlign w:val="center"/>
          </w:tcPr>
          <w:p/>
        </w:tc>
        <w:tc>
          <w:tcPr>
            <w:tcW w:w="1661" w:type="dxa"/>
            <w:vMerge/>
            <w:tcBorders>
              <w:top w:val="single" w:sz="4" w:space="0" w:color="auto"/>
              <w:left w:val="single" w:sz="4" w:space="0" w:color="auto"/>
              <w:right w:val="single" w:sz="4" w:space="0" w:color="auto"/>
            </w:tcBorders>
            <w:noWrap/>
            <w:vAlign w:val="center"/>
          </w:tcPr>
          <w:p/>
        </w:tc>
        <w:tc>
          <w:tcPr>
            <w:tcW w:w="4197" w:type="dxa"/>
            <w:tcBorders>
              <w:top w:val="single" w:sz="4" w:space="0" w:color="auto"/>
              <w:left w:val="single" w:sz="4" w:space="0" w:color="auto"/>
              <w:right w:val="single" w:sz="4" w:space="0" w:color="auto"/>
            </w:tcBorders>
            <w:noWrap/>
            <w:vAlign w:val="center"/>
          </w:tcPr>
          <w:p>
            <w:pPr>
              <w:spacing w:line="240" w:lineRule="exact"/>
              <w:ind w:firstLine="0"/>
              <w:jc w:val="left"/>
              <w:rPr>
                <w:rFonts w:ascii="宋体" w:eastAsia="宋体" w:cs="宋体"/>
                <w:spacing w:val="5"/>
                <w:kern w:val="2"/>
                <w:sz w:val="21"/>
                <w:szCs w:val="21"/>
              </w:rPr>
            </w:pPr>
            <w:r>
              <w:rPr>
                <w:rFonts w:ascii="宋体" w:eastAsia="宋体" w:cs="宋体" w:hint="eastAsia"/>
                <w:spacing w:val="5"/>
                <w:kern w:val="2"/>
                <w:sz w:val="21"/>
                <w:szCs w:val="21"/>
              </w:rPr>
              <w:t>3、</w:t>
            </w:r>
            <w:r>
              <w:rPr>
                <w:rFonts w:ascii="宋体" w:eastAsia="宋体" w:cs="宋体"/>
                <w:spacing w:val="5"/>
                <w:kern w:val="2"/>
                <w:sz w:val="21"/>
                <w:szCs w:val="21"/>
              </w:rPr>
              <w:t>投标人需确保现场运维服务工作涉及的辐射检测器具自检合格。</w:t>
            </w:r>
          </w:p>
        </w:tc>
        <w:tc>
          <w:tcPr>
            <w:tcW w:w="1716" w:type="dxa"/>
            <w:noWrap/>
            <w:vAlign w:val="center"/>
          </w:tcPr>
          <w:p>
            <w:pPr>
              <w:spacing w:line="240" w:lineRule="auto"/>
              <w:ind w:firstLine="0"/>
              <w:jc w:val="center"/>
              <w:rPr>
                <w:rFonts w:ascii="宋体" w:eastAsia="宋体" w:cs="Times New Roman"/>
                <w:kern w:val="2"/>
                <w:sz w:val="21"/>
                <w:szCs w:val="21"/>
                <w:lang w:bidi="en-US"/>
              </w:rPr>
            </w:pPr>
            <w:r>
              <w:rPr>
                <w:rFonts w:ascii="宋体" w:eastAsia="宋体" w:cs="Times New Roman" w:hint="eastAsia"/>
                <w:kern w:val="2"/>
                <w:sz w:val="21"/>
                <w:szCs w:val="21"/>
                <w:lang w:bidi="en-US"/>
              </w:rPr>
              <w:t>否</w:t>
            </w:r>
          </w:p>
        </w:tc>
      </w:tr>
      <w:tr>
        <w:tblPrEx>
          <w:tblW w:w="8522" w:type="dxa"/>
          <w:jc w:val="left"/>
          <w:tblInd w:w="0" w:type="dxa"/>
          <w:tblLayout w:type="fixed"/>
          <w:tblCellMar>
            <w:top w:w="0" w:type="dxa"/>
            <w:left w:w="108" w:type="dxa"/>
            <w:bottom w:w="0" w:type="dxa"/>
            <w:right w:w="108" w:type="dxa"/>
          </w:tblCellMar>
        </w:tblPrEx>
        <w:trPr>
          <w:trHeight w:val="469"/>
          <w:jc w:val="left"/>
        </w:trPr>
        <w:tc>
          <w:tcPr>
            <w:tcW w:w="948" w:type="dxa"/>
            <w:noWrap/>
            <w:vAlign w:val="center"/>
          </w:tcPr>
          <w:p>
            <w:pPr>
              <w:spacing w:line="240" w:lineRule="auto"/>
              <w:ind w:firstLine="0"/>
              <w:jc w:val="center"/>
              <w:rPr>
                <w:rFonts w:ascii="宋体" w:eastAsia="宋体" w:cs="Times New Roman"/>
                <w:kern w:val="2"/>
                <w:sz w:val="21"/>
              </w:rPr>
            </w:pPr>
            <w:r>
              <w:rPr>
                <w:rFonts w:ascii="宋体" w:eastAsia="宋体" w:cs="Times New Roman" w:hint="eastAsia"/>
                <w:b/>
                <w:kern w:val="2"/>
                <w:sz w:val="21"/>
              </w:rPr>
              <w:t>3</w:t>
            </w:r>
          </w:p>
        </w:tc>
        <w:tc>
          <w:tcPr>
            <w:tcW w:w="1661"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Times New Roman"/>
                <w:b/>
                <w:kern w:val="2"/>
                <w:sz w:val="21"/>
              </w:rPr>
            </w:pPr>
            <w:r>
              <w:rPr>
                <w:rFonts w:ascii="宋体" w:eastAsia="宋体" w:cs="Times New Roman" w:hint="eastAsia"/>
                <w:b/>
                <w:kern w:val="2"/>
                <w:sz w:val="21"/>
              </w:rPr>
              <w:t>系统需求</w:t>
            </w:r>
          </w:p>
        </w:tc>
        <w:tc>
          <w:tcPr>
            <w:tcW w:w="4197" w:type="dxa"/>
            <w:tcBorders>
              <w:top w:val="single" w:sz="4" w:space="0" w:color="auto"/>
              <w:left w:val="single" w:sz="4" w:space="0" w:color="auto"/>
              <w:right w:val="single" w:sz="4" w:space="0" w:color="auto"/>
            </w:tcBorders>
            <w:noWrap/>
            <w:vAlign w:val="center"/>
          </w:tcPr>
          <w:p>
            <w:pPr>
              <w:spacing w:line="240" w:lineRule="exact"/>
              <w:ind w:firstLine="0"/>
              <w:jc w:val="center"/>
              <w:rPr>
                <w:rFonts w:ascii="宋体" w:eastAsia="宋体" w:cs="Times New Roman"/>
                <w:kern w:val="2"/>
                <w:sz w:val="21"/>
                <w:lang w:bidi="en-US"/>
              </w:rPr>
            </w:pPr>
            <w:r>
              <w:rPr>
                <w:rFonts w:ascii="宋体" w:eastAsia="宋体" w:cs="Times New Roman" w:hint="eastAsia"/>
                <w:kern w:val="2"/>
                <w:sz w:val="21"/>
                <w:szCs w:val="21"/>
              </w:rPr>
              <w:t>无</w:t>
            </w:r>
          </w:p>
        </w:tc>
        <w:tc>
          <w:tcPr>
            <w:tcW w:w="1716" w:type="dxa"/>
            <w:noWrap/>
            <w:vAlign w:val="center"/>
          </w:tcPr>
          <w:p>
            <w:pPr>
              <w:spacing w:line="240" w:lineRule="auto"/>
              <w:ind w:firstLine="0"/>
              <w:jc w:val="center"/>
              <w:rPr>
                <w:rFonts w:ascii="宋体" w:eastAsia="宋体" w:cs="Times New Roman"/>
                <w:kern w:val="2"/>
                <w:sz w:val="21"/>
                <w:szCs w:val="21"/>
                <w:lang w:bidi="en-US"/>
              </w:rPr>
            </w:pPr>
            <w:r>
              <w:rPr>
                <w:rFonts w:ascii="宋体" w:eastAsia="宋体" w:cs="Times New Roman" w:hint="eastAsia"/>
                <w:kern w:val="2"/>
                <w:sz w:val="21"/>
                <w:szCs w:val="21"/>
                <w:lang w:bidi="en-US"/>
              </w:rPr>
              <w:t>否</w:t>
            </w:r>
          </w:p>
        </w:tc>
      </w:tr>
    </w:tbl>
    <w:p>
      <w:pPr>
        <w:numPr>
          <w:ilvl w:val="0"/>
          <w:numId w:val="2"/>
        </w:numPr>
        <w:spacing w:line="240" w:lineRule="auto"/>
        <w:rPr>
          <w:rFonts w:ascii="宋体" w:eastAsia="宋体" w:cs="Times New Roman"/>
          <w:b/>
          <w:kern w:val="2"/>
          <w:sz w:val="32"/>
          <w:szCs w:val="32"/>
        </w:rPr>
      </w:pPr>
      <w:r>
        <w:rPr>
          <w:rFonts w:ascii="宋体" w:eastAsia="宋体" w:cs="Times New Roman" w:hint="eastAsia"/>
          <w:b/>
          <w:kern w:val="2"/>
          <w:sz w:val="32"/>
          <w:szCs w:val="32"/>
        </w:rPr>
        <w:t>货物或服务指标要求</w:t>
      </w:r>
    </w:p>
    <w:p>
      <w:pPr>
        <w:spacing w:line="560" w:lineRule="exact"/>
        <w:ind w:firstLine="420" w:firstLineChars="200"/>
        <w:rPr>
          <w:rFonts w:ascii="宋体" w:eastAsia="宋体" w:cs="Times New Roman"/>
          <w:kern w:val="2"/>
        </w:rPr>
      </w:pPr>
      <w:r>
        <w:rPr>
          <w:rFonts w:ascii="宋体" w:eastAsia="宋体" w:cs="Times New Roman" w:hint="eastAsia"/>
          <w:kern w:val="2"/>
        </w:rPr>
        <w:t>参数指标要求</w:t>
      </w:r>
    </w:p>
    <w:p>
      <w:pPr>
        <w:spacing w:line="560" w:lineRule="exact"/>
        <w:ind w:firstLine="420" w:firstLineChars="200"/>
        <w:rPr>
          <w:rFonts w:ascii="宋体" w:eastAsia="宋体" w:cs="Times New Roman"/>
          <w:kern w:val="2"/>
        </w:rPr>
      </w:pPr>
      <w:r>
        <w:rPr>
          <w:rFonts w:ascii="宋体" w:eastAsia="宋体" w:cs="Times New Roman" w:hint="eastAsia"/>
          <w:kern w:val="2"/>
        </w:rPr>
        <w:t>①★代表实质性指标，不满足该指标项将导致投标被拒绝；加 “▲”标记表示为重要指标项，无标识则表示一般指标项，如不满足将影响评分。</w:t>
      </w:r>
    </w:p>
    <w:p>
      <w:pPr>
        <w:spacing w:line="560" w:lineRule="exact"/>
        <w:ind w:firstLine="0"/>
        <w:rPr>
          <w:rFonts w:ascii="宋体" w:eastAsia="宋体" w:cs="Times New Roman"/>
          <w:kern w:val="2"/>
          <w:sz w:val="21"/>
        </w:rPr>
      </w:pPr>
      <w:r>
        <w:rPr>
          <w:rFonts w:ascii="宋体" w:eastAsia="宋体" w:cs="Times New Roman" w:hint="eastAsia"/>
          <w:kern w:val="2"/>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058"/>
        <w:gridCol w:w="992"/>
        <w:gridCol w:w="3657"/>
        <w:gridCol w:w="1919"/>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tcBorders>
              <w:top w:val="single" w:sz="4" w:space="0" w:color="auto"/>
              <w:left w:val="single" w:sz="4" w:space="0" w:color="auto"/>
              <w:bottom w:val="single" w:sz="4" w:space="0" w:color="auto"/>
              <w:right w:val="single" w:sz="4" w:space="0" w:color="auto"/>
            </w:tcBorders>
            <w:shd w:val="clear" w:color="A6A6A6" w:fill="A6A6A6"/>
            <w:noWrap/>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序号</w:t>
            </w:r>
          </w:p>
        </w:tc>
        <w:tc>
          <w:tcPr>
            <w:tcW w:w="1058" w:type="dxa"/>
            <w:tcBorders>
              <w:top w:val="single" w:sz="4" w:space="0" w:color="auto"/>
              <w:left w:val="single" w:sz="4" w:space="0" w:color="auto"/>
              <w:bottom w:val="single" w:sz="4" w:space="0" w:color="auto"/>
              <w:right w:val="single" w:sz="4" w:space="0" w:color="auto"/>
            </w:tcBorders>
            <w:shd w:val="clear" w:color="A6A6A6" w:fill="A6A6A6"/>
            <w:noWrap/>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重要性</w:t>
            </w:r>
          </w:p>
        </w:tc>
        <w:tc>
          <w:tcPr>
            <w:tcW w:w="992" w:type="dxa"/>
            <w:tcBorders>
              <w:top w:val="single" w:sz="4" w:space="0" w:color="auto"/>
              <w:left w:val="single" w:sz="4" w:space="0" w:color="auto"/>
              <w:bottom w:val="single" w:sz="4" w:space="0" w:color="auto"/>
              <w:right w:val="single" w:sz="4" w:space="0" w:color="auto"/>
            </w:tcBorders>
            <w:shd w:val="clear" w:color="A6A6A6" w:fill="A6A6A6"/>
            <w:noWrap/>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指标项</w:t>
            </w:r>
          </w:p>
        </w:tc>
        <w:tc>
          <w:tcPr>
            <w:tcW w:w="3657" w:type="dxa"/>
            <w:tcBorders>
              <w:top w:val="single" w:sz="4" w:space="0" w:color="auto"/>
              <w:left w:val="single" w:sz="4" w:space="0" w:color="auto"/>
              <w:bottom w:val="single" w:sz="4" w:space="0" w:color="auto"/>
              <w:right w:val="single" w:sz="4" w:space="0" w:color="auto"/>
            </w:tcBorders>
            <w:shd w:val="clear" w:color="A6A6A6" w:fill="A6A6A6"/>
            <w:noWrap/>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指标要求</w:t>
            </w:r>
          </w:p>
        </w:tc>
        <w:tc>
          <w:tcPr>
            <w:tcW w:w="1919" w:type="dxa"/>
            <w:tcBorders>
              <w:top w:val="single" w:sz="4" w:space="0" w:color="auto"/>
              <w:left w:val="single" w:sz="4" w:space="0" w:color="auto"/>
              <w:bottom w:val="single" w:sz="4" w:space="0" w:color="auto"/>
              <w:right w:val="single" w:sz="4" w:space="0" w:color="auto"/>
            </w:tcBorders>
            <w:shd w:val="clear" w:color="A6A6A6" w:fill="A6A6A6"/>
            <w:noWrap/>
          </w:tcPr>
          <w:p>
            <w:pPr>
              <w:spacing w:line="240" w:lineRule="auto"/>
              <w:ind w:firstLine="0"/>
              <w:jc w:val="center"/>
              <w:rPr>
                <w:rFonts w:ascii="宋体" w:eastAsia="宋体" w:cs="Times New Roman"/>
                <w:b/>
                <w:kern w:val="2"/>
                <w:sz w:val="21"/>
              </w:rPr>
            </w:pPr>
            <w:r>
              <w:rPr>
                <w:rFonts w:ascii="宋体" w:eastAsia="宋体" w:cs="Times New Roman" w:hint="eastAsia"/>
                <w:b/>
                <w:kern w:val="2"/>
                <w:sz w:val="21"/>
              </w:rPr>
              <w:t>证明材料要求</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spacing w:line="240" w:lineRule="auto"/>
              <w:ind w:firstLine="0"/>
              <w:jc w:val="center"/>
              <w:rPr>
                <w:rFonts w:ascii="宋体" w:eastAsia="宋体" w:cs="Times New Roman"/>
                <w:kern w:val="2"/>
                <w:sz w:val="21"/>
              </w:rPr>
            </w:pPr>
            <w:r>
              <w:rPr>
                <w:rFonts w:ascii="宋体" w:eastAsia="宋体" w:cs="Times New Roman"/>
                <w:kern w:val="2"/>
                <w:sz w:val="21"/>
              </w:rPr>
              <w:t>1</w:t>
            </w:r>
          </w:p>
        </w:tc>
        <w:tc>
          <w:tcPr>
            <w:tcW w:w="1058"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b/>
                <w:kern w:val="2"/>
                <w:sz w:val="21"/>
              </w:rPr>
            </w:pPr>
            <w:r>
              <w:rPr>
                <w:rFonts w:ascii="宋体" w:eastAsia="宋体" w:cs="宋体" w:hint="eastAsia"/>
                <w:b/>
                <w:bCs/>
                <w:kern w:val="2"/>
                <w:sz w:val="21"/>
                <w:szCs w:val="21"/>
                <w:lang w:bidi="en-US"/>
              </w:rPr>
              <w:t>★</w:t>
            </w:r>
          </w:p>
        </w:tc>
        <w:tc>
          <w:tcPr>
            <w:tcW w:w="992" w:type="dxa"/>
            <w:tcBorders>
              <w:top w:val="single" w:sz="4" w:space="0" w:color="auto"/>
              <w:left w:val="single" w:sz="4" w:space="0" w:color="auto"/>
              <w:right w:val="single" w:sz="4" w:space="0" w:color="auto"/>
            </w:tcBorders>
            <w:noWrap/>
            <w:vAlign w:val="center"/>
          </w:tcPr>
          <w:p>
            <w:pPr>
              <w:spacing w:line="240" w:lineRule="auto"/>
              <w:ind w:firstLine="0"/>
              <w:jc w:val="left"/>
              <w:rPr>
                <w:rFonts w:ascii="宋体" w:eastAsia="宋体" w:cs="Times New Roman"/>
                <w:kern w:val="2"/>
                <w:sz w:val="21"/>
                <w:lang w:bidi="en-US"/>
              </w:rPr>
            </w:pPr>
            <w:r>
              <w:rPr>
                <w:rFonts w:ascii="宋体" w:eastAsia="宋体" w:cs="宋体"/>
                <w:kern w:val="2"/>
                <w:sz w:val="21"/>
                <w:szCs w:val="21"/>
              </w:rPr>
              <w:t>维修响应时间要求</w:t>
            </w:r>
          </w:p>
        </w:tc>
        <w:tc>
          <w:tcPr>
            <w:tcW w:w="3657" w:type="dxa"/>
            <w:tcBorders>
              <w:top w:val="single" w:sz="4" w:space="0" w:color="auto"/>
              <w:left w:val="single" w:sz="4" w:space="0" w:color="auto"/>
              <w:right w:val="single" w:sz="4" w:space="0" w:color="auto"/>
            </w:tcBorders>
            <w:noWrap/>
          </w:tcPr>
          <w:p>
            <w:pPr>
              <w:autoSpaceDN w:val="0"/>
              <w:spacing w:line="240" w:lineRule="atLeast"/>
              <w:ind w:firstLine="0"/>
              <w:rPr>
                <w:rFonts w:ascii="宋体" w:eastAsia="宋体" w:cs="Times New Roman"/>
                <w:b/>
                <w:bCs/>
                <w:kern w:val="2"/>
                <w:sz w:val="21"/>
                <w:szCs w:val="21"/>
                <w:lang w:bidi="en-US"/>
              </w:rPr>
            </w:pPr>
            <w:r>
              <w:rPr>
                <w:rFonts w:ascii="宋体" w:eastAsia="宋体" w:cs="Times New Roman" w:hint="eastAsia"/>
                <w:kern w:val="2"/>
                <w:sz w:val="21"/>
                <w:szCs w:val="21"/>
                <w:lang w:bidi="en-US"/>
              </w:rPr>
              <w:t>投标人提供7*24小时维修响应服务，发生故障时工程师即时响应。</w:t>
            </w:r>
          </w:p>
          <w:p>
            <w:pPr>
              <w:autoSpaceDN w:val="0"/>
              <w:spacing w:line="240" w:lineRule="atLeast"/>
              <w:ind w:firstLine="0"/>
              <w:rPr>
                <w:rFonts w:ascii="宋体" w:eastAsia="宋体" w:cs="Times New Roman"/>
                <w:kern w:val="2"/>
                <w:sz w:val="21"/>
                <w:szCs w:val="21"/>
                <w:lang w:bidi="en-US"/>
              </w:rPr>
            </w:pPr>
            <w:r>
              <w:rPr>
                <w:rFonts w:ascii="宋体" w:eastAsia="宋体" w:cs="Times New Roman" w:hint="eastAsia"/>
                <w:kern w:val="2"/>
                <w:sz w:val="21"/>
                <w:szCs w:val="21"/>
                <w:lang w:bidi="en-US"/>
              </w:rPr>
              <w:t>对于重点口岸现场、重要通关时段或遇重大事件、重大活动，可根据海关现场业务需求提供临时驻场人员值守及技术保障支持。</w:t>
            </w:r>
          </w:p>
        </w:tc>
        <w:tc>
          <w:tcPr>
            <w:tcW w:w="1919" w:type="dxa"/>
            <w:noWrap/>
            <w:vAlign w:val="center"/>
          </w:tcPr>
          <w:p>
            <w:pPr>
              <w:spacing w:line="240" w:lineRule="exact"/>
              <w:ind w:firstLine="0"/>
              <w:jc w:val="left"/>
              <w:rPr>
                <w:rFonts w:ascii="宋体" w:eastAsia="宋体" w:cs="Times New Roman"/>
                <w:kern w:val="2"/>
                <w:sz w:val="21"/>
                <w:lang w:bidi="en-US"/>
              </w:rPr>
            </w:pPr>
            <w:r>
              <w:rPr>
                <w:rFonts w:ascii="宋体" w:eastAsia="宋体" w:cs="Times New Roman" w:hint="eastAsia"/>
                <w:kern w:val="2"/>
                <w:sz w:val="21"/>
                <w:szCs w:val="21"/>
                <w:lang w:bidi="en-US"/>
              </w:rPr>
              <w:t>提供</w:t>
            </w:r>
            <w:r>
              <w:rPr>
                <w:rFonts w:ascii="宋体" w:eastAsia="宋体" w:cs="Times New Roman"/>
                <w:kern w:val="2"/>
                <w:sz w:val="21"/>
                <w:szCs w:val="21"/>
                <w:lang w:bidi="en-US"/>
              </w:rPr>
              <w:t>加盖投标人公章的相关承诺书</w:t>
            </w:r>
          </w:p>
        </w:tc>
      </w:tr>
      <w:tr>
        <w:tblPrEx>
          <w:tblW w:w="8519" w:type="dxa"/>
          <w:jc w:val="left"/>
          <w:tblInd w:w="0" w:type="dxa"/>
          <w:tblLayout w:type="fixed"/>
          <w:tblCellMar>
            <w:top w:w="0" w:type="dxa"/>
            <w:left w:w="108" w:type="dxa"/>
            <w:bottom w:w="0" w:type="dxa"/>
            <w:right w:w="108" w:type="dxa"/>
          </w:tblCellMar>
        </w:tblPrEx>
        <w:trPr>
          <w:trHeight w:val="804"/>
          <w:jc w:val="left"/>
        </w:trPr>
        <w:tc>
          <w:tcPr>
            <w:tcW w:w="893" w:type="dxa"/>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2</w:t>
            </w:r>
          </w:p>
        </w:tc>
        <w:tc>
          <w:tcPr>
            <w:tcW w:w="1058" w:type="dxa"/>
            <w:tcBorders>
              <w:top w:val="single" w:sz="4" w:space="0" w:color="auto"/>
              <w:left w:val="single" w:sz="4" w:space="0" w:color="auto"/>
              <w:right w:val="single" w:sz="4" w:space="0" w:color="auto"/>
            </w:tcBorders>
            <w:noWrap/>
            <w:vAlign w:val="center"/>
          </w:tcPr>
          <w:p>
            <w:pPr>
              <w:spacing w:line="240" w:lineRule="exact"/>
              <w:ind w:firstLine="0"/>
              <w:rPr>
                <w:rFonts w:ascii="宋体" w:eastAsia="宋体" w:cs="Times New Roman"/>
                <w:kern w:val="2"/>
                <w:sz w:val="21"/>
                <w:szCs w:val="21"/>
              </w:rPr>
            </w:pPr>
            <w:r>
              <w:rPr>
                <w:rFonts w:ascii="宋体" w:eastAsia="宋体" w:cs="宋体" w:hint="eastAsia"/>
                <w:b/>
                <w:bCs/>
                <w:kern w:val="2"/>
                <w:sz w:val="21"/>
                <w:szCs w:val="21"/>
                <w:lang w:bidi="en-US"/>
              </w:rPr>
              <w:t>▲</w:t>
            </w:r>
          </w:p>
        </w:tc>
        <w:tc>
          <w:tcPr>
            <w:tcW w:w="992"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Times New Roman"/>
                <w:kern w:val="2"/>
                <w:sz w:val="21"/>
              </w:rPr>
            </w:pPr>
            <w:r>
              <w:rPr>
                <w:rFonts w:ascii="宋体" w:eastAsia="宋体" w:cs="Times New Roman" w:hint="eastAsia"/>
                <w:kern w:val="2"/>
                <w:sz w:val="21"/>
              </w:rPr>
              <w:t>质量要求</w:t>
            </w:r>
          </w:p>
        </w:tc>
        <w:tc>
          <w:tcPr>
            <w:tcW w:w="3657" w:type="dxa"/>
            <w:tcBorders>
              <w:top w:val="single" w:sz="4" w:space="0" w:color="auto"/>
              <w:left w:val="single" w:sz="4" w:space="0" w:color="auto"/>
              <w:right w:val="single" w:sz="4" w:space="0" w:color="auto"/>
            </w:tcBorders>
            <w:noWrap/>
            <w:vAlign w:val="center"/>
          </w:tcPr>
          <w:p>
            <w:pPr>
              <w:autoSpaceDN w:val="0"/>
              <w:spacing w:line="240" w:lineRule="atLeast"/>
              <w:ind w:firstLine="0"/>
              <w:rPr>
                <w:rFonts w:ascii="Times New Roman" w:eastAsia="宋体" w:hAnsi="Times New Roman" w:cs="Times New Roman"/>
                <w:kern w:val="2"/>
                <w:sz w:val="21"/>
              </w:rPr>
            </w:pPr>
            <w:r>
              <w:rPr>
                <w:rFonts w:ascii="宋体" w:eastAsia="宋体" w:cs="宋体" w:hint="eastAsia"/>
                <w:b/>
                <w:bCs/>
                <w:kern w:val="2"/>
                <w:sz w:val="21"/>
                <w:szCs w:val="21"/>
                <w:lang w:bidi="en-US"/>
              </w:rPr>
              <w:t>▲</w:t>
            </w:r>
            <w:r>
              <w:rPr>
                <w:rFonts w:ascii="宋体" w:eastAsia="宋体" w:cs="Times New Roman" w:hint="eastAsia"/>
                <w:b/>
                <w:bCs/>
                <w:kern w:val="2"/>
                <w:sz w:val="21"/>
                <w:szCs w:val="21"/>
                <w:lang w:bidi="en-US"/>
              </w:rPr>
              <w:t>维修质量要求</w:t>
            </w:r>
          </w:p>
          <w:p>
            <w:pPr>
              <w:autoSpaceDN w:val="0"/>
              <w:spacing w:line="240" w:lineRule="atLeast"/>
              <w:ind w:firstLine="0"/>
              <w:rPr>
                <w:rFonts w:ascii="Times New Roman" w:eastAsia="宋体" w:hAnsi="Times New Roman" w:cs="Times New Roman"/>
                <w:kern w:val="2"/>
                <w:sz w:val="21"/>
                <w:szCs w:val="21"/>
                <w:lang w:bidi="en-US"/>
              </w:rPr>
            </w:pPr>
            <w:r>
              <w:rPr>
                <w:rFonts w:ascii="宋体" w:eastAsia="宋体" w:cs="Times New Roman" w:hint="eastAsia"/>
                <w:kern w:val="2"/>
                <w:sz w:val="21"/>
                <w:szCs w:val="21"/>
                <w:lang w:bidi="en-US"/>
              </w:rPr>
              <w:t>设备正常运行率要求：服务期内每台设备正常运行率需不低于</w:t>
            </w:r>
            <w:r>
              <w:rPr>
                <w:rFonts w:ascii="Times New Roman" w:eastAsia="宋体" w:hAnsi="Times New Roman" w:cs="Times New Roman"/>
                <w:kern w:val="2"/>
                <w:sz w:val="21"/>
                <w:szCs w:val="21"/>
                <w:lang w:bidi="en-US"/>
              </w:rPr>
              <w:t>98%</w:t>
            </w:r>
            <w:r>
              <w:rPr>
                <w:rFonts w:ascii="宋体" w:eastAsia="宋体" w:cs="Times New Roman" w:hint="eastAsia"/>
                <w:kern w:val="2"/>
                <w:sz w:val="21"/>
                <w:szCs w:val="21"/>
                <w:lang w:bidi="en-US"/>
              </w:rPr>
              <w:t>（新疆、西藏、内蒙古、黑龙江、云南地区正常运行率需不低于</w:t>
            </w:r>
            <w:r>
              <w:rPr>
                <w:rFonts w:ascii="Times New Roman" w:eastAsia="宋体" w:hAnsi="Times New Roman" w:cs="Times New Roman"/>
                <w:kern w:val="2"/>
                <w:sz w:val="21"/>
                <w:szCs w:val="21"/>
                <w:lang w:bidi="en-US"/>
              </w:rPr>
              <w:t>95%</w:t>
            </w:r>
            <w:r>
              <w:rPr>
                <w:rFonts w:ascii="宋体" w:eastAsia="宋体" w:cs="Times New Roman" w:hint="eastAsia"/>
                <w:kern w:val="2"/>
                <w:sz w:val="21"/>
                <w:szCs w:val="21"/>
                <w:lang w:bidi="en-US"/>
              </w:rPr>
              <w:t>）。</w:t>
            </w:r>
          </w:p>
          <w:p>
            <w:pPr>
              <w:autoSpaceDN w:val="0"/>
              <w:spacing w:line="240" w:lineRule="atLeast"/>
              <w:ind w:firstLine="0"/>
              <w:rPr>
                <w:rFonts w:ascii="Times New Roman" w:eastAsia="宋体" w:hAnsi="Times New Roman" w:cs="Times New Roman"/>
                <w:kern w:val="2"/>
                <w:sz w:val="21"/>
                <w:szCs w:val="21"/>
                <w:lang w:bidi="en-US"/>
              </w:rPr>
            </w:pPr>
            <w:r>
              <w:rPr>
                <w:rFonts w:ascii="宋体" w:eastAsia="宋体" w:cs="Times New Roman" w:hint="eastAsia"/>
                <w:kern w:val="2"/>
                <w:sz w:val="21"/>
                <w:szCs w:val="21"/>
                <w:lang w:bidi="en-US"/>
              </w:rPr>
              <w:t>设备正常运行率定义：（</w:t>
            </w:r>
            <w:r>
              <w:rPr>
                <w:rFonts w:ascii="Times New Roman" w:eastAsia="宋体" w:hAnsi="Times New Roman" w:cs="Times New Roman"/>
                <w:kern w:val="2"/>
                <w:sz w:val="21"/>
                <w:szCs w:val="21"/>
                <w:lang w:bidi="en-US"/>
              </w:rPr>
              <w:t>365</w:t>
            </w:r>
            <w:r>
              <w:rPr>
                <w:rFonts w:ascii="宋体" w:eastAsia="宋体" w:cs="Times New Roman" w:hint="eastAsia"/>
                <w:kern w:val="2"/>
                <w:sz w:val="21"/>
                <w:szCs w:val="21"/>
                <w:lang w:bidi="en-US"/>
              </w:rPr>
              <w:t>天</w:t>
            </w:r>
            <w:r>
              <w:rPr>
                <w:rFonts w:ascii="Times New Roman" w:eastAsia="宋体" w:hAnsi="Times New Roman" w:cs="Times New Roman"/>
                <w:kern w:val="2"/>
                <w:sz w:val="21"/>
                <w:szCs w:val="21"/>
                <w:lang w:bidi="en-US"/>
              </w:rPr>
              <w:t>-</w:t>
            </w:r>
            <w:r>
              <w:rPr>
                <w:rFonts w:ascii="宋体" w:eastAsia="宋体" w:cs="Times New Roman" w:hint="eastAsia"/>
                <w:kern w:val="2"/>
                <w:sz w:val="21"/>
                <w:szCs w:val="21"/>
                <w:lang w:bidi="en-US"/>
              </w:rPr>
              <w:t>设备故障累计天数）</w:t>
            </w:r>
            <w:r>
              <w:rPr>
                <w:rFonts w:ascii="Times New Roman" w:eastAsia="宋体" w:hAnsi="Times New Roman" w:cs="Times New Roman"/>
                <w:kern w:val="2"/>
                <w:sz w:val="21"/>
                <w:szCs w:val="21"/>
                <w:lang w:bidi="en-US"/>
              </w:rPr>
              <w:t>/365</w:t>
            </w:r>
            <w:r>
              <w:rPr>
                <w:rFonts w:ascii="宋体" w:eastAsia="宋体" w:cs="Times New Roman" w:hint="eastAsia"/>
                <w:kern w:val="2"/>
                <w:sz w:val="21"/>
                <w:szCs w:val="21"/>
                <w:lang w:bidi="en-US"/>
              </w:rPr>
              <w:t>天</w:t>
            </w:r>
            <w:r>
              <w:rPr>
                <w:rFonts w:ascii="Times New Roman" w:eastAsia="宋体" w:hAnsi="Times New Roman" w:cs="Times New Roman"/>
                <w:kern w:val="2"/>
                <w:sz w:val="21"/>
                <w:szCs w:val="21"/>
                <w:lang w:bidi="en-US"/>
              </w:rPr>
              <w:t>*100%</w:t>
            </w:r>
            <w:r>
              <w:rPr>
                <w:rFonts w:ascii="宋体" w:eastAsia="宋体" w:cs="Times New Roman" w:hint="eastAsia"/>
                <w:kern w:val="2"/>
                <w:sz w:val="21"/>
                <w:szCs w:val="21"/>
                <w:lang w:bidi="en-US"/>
              </w:rPr>
              <w:t>。</w:t>
            </w:r>
          </w:p>
          <w:p>
            <w:pPr>
              <w:autoSpaceDN w:val="0"/>
              <w:spacing w:line="240" w:lineRule="atLeast"/>
              <w:ind w:firstLine="0"/>
              <w:rPr>
                <w:rFonts w:ascii="Times New Roman" w:eastAsia="宋体" w:hAnsi="Times New Roman" w:cs="Times New Roman"/>
                <w:kern w:val="2"/>
                <w:sz w:val="21"/>
                <w:szCs w:val="21"/>
                <w:lang w:bidi="en-US"/>
              </w:rPr>
            </w:pPr>
            <w:r>
              <w:rPr>
                <w:rFonts w:ascii="宋体" w:eastAsia="宋体" w:cs="Times New Roman" w:hint="eastAsia"/>
                <w:kern w:val="2"/>
                <w:sz w:val="21"/>
                <w:szCs w:val="21"/>
                <w:lang w:bidi="en-US"/>
              </w:rPr>
              <w:t>服务期内投标人需配合海关及第三方机构共同对设备性能指标进行检测，性能指标检测合格率：</w:t>
            </w:r>
            <w:r>
              <w:rPr>
                <w:rFonts w:ascii="Times New Roman" w:eastAsia="宋体" w:hAnsi="Times New Roman" w:cs="Times New Roman"/>
                <w:kern w:val="2"/>
                <w:sz w:val="21"/>
                <w:szCs w:val="21"/>
                <w:lang w:bidi="en-US"/>
              </w:rPr>
              <w:t>100%</w:t>
            </w:r>
            <w:r>
              <w:rPr>
                <w:rFonts w:ascii="宋体" w:eastAsia="宋体" w:cs="Times New Roman" w:hint="eastAsia"/>
                <w:kern w:val="2"/>
                <w:sz w:val="21"/>
                <w:szCs w:val="21"/>
                <w:lang w:bidi="en-US"/>
              </w:rPr>
              <w:t>。</w:t>
            </w:r>
          </w:p>
          <w:p>
            <w:pPr>
              <w:autoSpaceDN w:val="0"/>
              <w:spacing w:line="240" w:lineRule="atLeast"/>
              <w:ind w:firstLine="0"/>
              <w:rPr>
                <w:rFonts w:ascii="宋体" w:eastAsia="宋体" w:cs="Times New Roman"/>
                <w:kern w:val="2"/>
                <w:sz w:val="21"/>
                <w:szCs w:val="21"/>
                <w:lang w:bidi="en-US"/>
              </w:rPr>
            </w:pPr>
            <w:r>
              <w:rPr>
                <w:rFonts w:ascii="宋体" w:eastAsia="宋体" w:cs="Times New Roman" w:hint="eastAsia"/>
                <w:kern w:val="2"/>
                <w:sz w:val="21"/>
                <w:szCs w:val="21"/>
                <w:lang w:bidi="en-US"/>
              </w:rPr>
              <w:t>技术咨询与指导的响应回复率：</w:t>
            </w:r>
            <w:r>
              <w:rPr>
                <w:rFonts w:ascii="Times New Roman" w:eastAsia="宋体" w:hAnsi="Times New Roman" w:cs="Times New Roman"/>
                <w:kern w:val="2"/>
                <w:sz w:val="21"/>
                <w:szCs w:val="21"/>
                <w:lang w:bidi="en-US"/>
              </w:rPr>
              <w:t>100%</w:t>
            </w:r>
            <w:r>
              <w:rPr>
                <w:rFonts w:ascii="宋体" w:eastAsia="宋体" w:cs="Times New Roman" w:hint="eastAsia"/>
                <w:kern w:val="2"/>
                <w:sz w:val="21"/>
                <w:szCs w:val="21"/>
                <w:lang w:bidi="en-US"/>
              </w:rPr>
              <w:t>。</w:t>
            </w:r>
          </w:p>
          <w:p>
            <w:pPr>
              <w:autoSpaceDN w:val="0"/>
              <w:spacing w:line="240" w:lineRule="atLeast"/>
              <w:ind w:firstLine="0"/>
              <w:rPr>
                <w:rFonts w:ascii="宋体" w:eastAsia="宋体" w:cs="Times New Roman"/>
                <w:kern w:val="2"/>
                <w:sz w:val="21"/>
                <w:szCs w:val="21"/>
                <w:lang w:bidi="en-US"/>
              </w:rPr>
            </w:pPr>
          </w:p>
          <w:p>
            <w:pPr>
              <w:autoSpaceDN w:val="0"/>
              <w:spacing w:line="240" w:lineRule="atLeast"/>
              <w:ind w:firstLine="0"/>
              <w:rPr>
                <w:rFonts w:ascii="Times New Roman" w:eastAsia="宋体" w:hAnsi="Times New Roman" w:cs="Times New Roman"/>
                <w:kern w:val="2"/>
                <w:sz w:val="21"/>
              </w:rPr>
            </w:pPr>
            <w:r>
              <w:rPr>
                <w:rFonts w:ascii="宋体" w:eastAsia="宋体" w:cs="宋体" w:hint="eastAsia"/>
                <w:b/>
                <w:bCs/>
                <w:kern w:val="2"/>
                <w:sz w:val="21"/>
                <w:szCs w:val="21"/>
                <w:lang w:bidi="en-US"/>
              </w:rPr>
              <w:t>▲</w:t>
            </w:r>
            <w:r>
              <w:rPr>
                <w:rFonts w:ascii="宋体" w:eastAsia="宋体" w:cs="Times New Roman" w:hint="eastAsia"/>
                <w:b/>
                <w:bCs/>
                <w:kern w:val="2"/>
                <w:sz w:val="21"/>
                <w:szCs w:val="21"/>
                <w:lang w:bidi="en-US"/>
              </w:rPr>
              <w:t>预防性维护质量要求</w:t>
            </w:r>
          </w:p>
          <w:p>
            <w:pPr>
              <w:autoSpaceDN w:val="0"/>
              <w:spacing w:line="240" w:lineRule="atLeast"/>
              <w:ind w:firstLine="0"/>
              <w:rPr>
                <w:rFonts w:ascii="Times New Roman" w:eastAsia="宋体" w:hAnsi="Times New Roman" w:cs="Times New Roman"/>
                <w:kern w:val="2"/>
                <w:sz w:val="21"/>
                <w:szCs w:val="21"/>
                <w:lang w:bidi="en-US"/>
              </w:rPr>
            </w:pPr>
            <w:r>
              <w:rPr>
                <w:rFonts w:ascii="宋体" w:eastAsia="宋体" w:cs="Times New Roman" w:hint="eastAsia"/>
                <w:kern w:val="2"/>
                <w:sz w:val="21"/>
                <w:szCs w:val="21"/>
                <w:lang w:bidi="en-US"/>
              </w:rPr>
              <w:t>投标人需按要求完成日常巡检，月、季、半年度、年度保养，及易损件更换等维护保养服务，并完成相关记录及报告。</w:t>
            </w:r>
          </w:p>
          <w:p>
            <w:pPr>
              <w:autoSpaceDN w:val="0"/>
              <w:spacing w:line="240" w:lineRule="atLeast"/>
              <w:ind w:firstLine="0"/>
              <w:rPr>
                <w:rFonts w:ascii="Times New Roman" w:eastAsia="宋体" w:hAnsi="Times New Roman" w:cs="Times New Roman"/>
                <w:kern w:val="2"/>
                <w:sz w:val="21"/>
                <w:szCs w:val="21"/>
                <w:lang w:bidi="en-US"/>
              </w:rPr>
            </w:pPr>
            <w:r>
              <w:rPr>
                <w:rFonts w:ascii="宋体" w:eastAsia="宋体" w:cs="Times New Roman" w:hint="eastAsia"/>
                <w:kern w:val="2"/>
                <w:sz w:val="21"/>
                <w:szCs w:val="21"/>
                <w:lang w:bidi="en-US"/>
              </w:rPr>
              <w:t>日常巡检完成率：</w:t>
            </w:r>
            <w:r>
              <w:rPr>
                <w:rFonts w:ascii="Times New Roman" w:eastAsia="宋体" w:hAnsi="Times New Roman" w:cs="Times New Roman"/>
                <w:kern w:val="2"/>
                <w:sz w:val="21"/>
                <w:szCs w:val="21"/>
                <w:lang w:bidi="en-US"/>
              </w:rPr>
              <w:t>100%</w:t>
            </w:r>
            <w:r>
              <w:rPr>
                <w:rFonts w:ascii="宋体" w:eastAsia="宋体" w:cs="Times New Roman" w:hint="eastAsia"/>
                <w:kern w:val="2"/>
                <w:sz w:val="21"/>
                <w:szCs w:val="21"/>
                <w:lang w:bidi="en-US"/>
              </w:rPr>
              <w:t>。</w:t>
            </w:r>
          </w:p>
          <w:p>
            <w:pPr>
              <w:autoSpaceDN w:val="0"/>
              <w:spacing w:line="240" w:lineRule="atLeast"/>
              <w:ind w:firstLine="0"/>
              <w:rPr>
                <w:rFonts w:ascii="宋体" w:eastAsia="宋体" w:cs="Times New Roman"/>
                <w:kern w:val="2"/>
                <w:sz w:val="21"/>
                <w:szCs w:val="21"/>
                <w:lang w:bidi="en-US"/>
              </w:rPr>
            </w:pPr>
            <w:r>
              <w:rPr>
                <w:rFonts w:ascii="宋体" w:eastAsia="宋体" w:cs="Times New Roman" w:hint="eastAsia"/>
                <w:kern w:val="2"/>
                <w:sz w:val="21"/>
                <w:szCs w:val="21"/>
                <w:lang w:bidi="en-US"/>
              </w:rPr>
              <w:t>定期保养完成率：</w:t>
            </w:r>
            <w:r>
              <w:rPr>
                <w:rFonts w:ascii="Times New Roman" w:eastAsia="宋体" w:hAnsi="Times New Roman" w:cs="Times New Roman"/>
                <w:kern w:val="2"/>
                <w:sz w:val="21"/>
                <w:szCs w:val="21"/>
                <w:lang w:bidi="en-US"/>
              </w:rPr>
              <w:t>100%</w:t>
            </w:r>
            <w:r>
              <w:rPr>
                <w:rFonts w:ascii="宋体" w:eastAsia="宋体" w:cs="Times New Roman" w:hint="eastAsia"/>
                <w:kern w:val="2"/>
                <w:sz w:val="21"/>
                <w:szCs w:val="21"/>
                <w:lang w:bidi="en-US"/>
              </w:rPr>
              <w:t>。</w:t>
            </w:r>
          </w:p>
        </w:tc>
        <w:tc>
          <w:tcPr>
            <w:tcW w:w="1919" w:type="dxa"/>
            <w:noWrap/>
            <w:vAlign w:val="center"/>
          </w:tcPr>
          <w:p>
            <w:pPr>
              <w:spacing w:line="240" w:lineRule="auto"/>
              <w:ind w:firstLine="0"/>
              <w:rPr>
                <w:rFonts w:ascii="宋体" w:eastAsia="宋体" w:cs="Times New Roman"/>
                <w:kern w:val="2"/>
                <w:sz w:val="21"/>
                <w:szCs w:val="21"/>
                <w:lang w:bidi="en-US"/>
              </w:rPr>
            </w:pPr>
            <w:r>
              <w:rPr>
                <w:rFonts w:ascii="宋体" w:eastAsia="宋体" w:cs="Times New Roman" w:hint="eastAsia"/>
                <w:kern w:val="2"/>
                <w:sz w:val="21"/>
                <w:szCs w:val="21"/>
                <w:lang w:bidi="en-US"/>
              </w:rPr>
              <w:t>否</w:t>
            </w:r>
          </w:p>
        </w:tc>
      </w:tr>
      <w:tr>
        <w:tblPrEx>
          <w:tblW w:w="8519" w:type="dxa"/>
          <w:jc w:val="left"/>
          <w:tblInd w:w="0" w:type="dxa"/>
          <w:tblLayout w:type="fixed"/>
          <w:tblCellMar>
            <w:top w:w="0" w:type="dxa"/>
            <w:left w:w="108" w:type="dxa"/>
            <w:bottom w:w="0" w:type="dxa"/>
            <w:right w:w="108" w:type="dxa"/>
          </w:tblCellMar>
        </w:tblPrEx>
        <w:trPr>
          <w:trHeight w:val="4243"/>
          <w:jc w:val="left"/>
        </w:trPr>
        <w:tc>
          <w:tcPr>
            <w:tcW w:w="893" w:type="dxa"/>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3</w:t>
            </w:r>
          </w:p>
        </w:tc>
        <w:tc>
          <w:tcPr>
            <w:tcW w:w="1058" w:type="dxa"/>
            <w:tcBorders>
              <w:top w:val="single" w:sz="4" w:space="0" w:color="auto"/>
              <w:left w:val="single" w:sz="4" w:space="0" w:color="auto"/>
              <w:right w:val="single" w:sz="4" w:space="0" w:color="auto"/>
            </w:tcBorders>
            <w:noWrap/>
            <w:vAlign w:val="center"/>
          </w:tcPr>
          <w:p>
            <w:pPr>
              <w:spacing w:line="240" w:lineRule="exact"/>
              <w:ind w:firstLine="0"/>
              <w:rPr>
                <w:rFonts w:ascii="宋体" w:eastAsia="宋体" w:cs="宋体"/>
                <w:kern w:val="2"/>
                <w:sz w:val="21"/>
                <w:szCs w:val="21"/>
              </w:rPr>
            </w:pPr>
          </w:p>
        </w:tc>
        <w:tc>
          <w:tcPr>
            <w:tcW w:w="992"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Times New Roman"/>
                <w:kern w:val="2"/>
                <w:sz w:val="21"/>
              </w:rPr>
            </w:pPr>
          </w:p>
          <w:p>
            <w:pPr>
              <w:spacing w:line="240" w:lineRule="auto"/>
              <w:ind w:firstLine="0"/>
              <w:rPr>
                <w:rFonts w:ascii="宋体" w:eastAsia="宋体" w:cs="Times New Roman"/>
                <w:kern w:val="2"/>
                <w:sz w:val="21"/>
                <w:lang w:bidi="en-US"/>
              </w:rPr>
            </w:pPr>
            <w:r>
              <w:rPr>
                <w:rFonts w:ascii="宋体" w:eastAsia="宋体" w:cs="Times New Roman"/>
                <w:kern w:val="2"/>
                <w:sz w:val="21"/>
              </w:rPr>
              <w:t>故障处理要求</w:t>
            </w:r>
          </w:p>
        </w:tc>
        <w:tc>
          <w:tcPr>
            <w:tcW w:w="3657" w:type="dxa"/>
            <w:tcBorders>
              <w:top w:val="single" w:sz="4" w:space="0" w:color="auto"/>
              <w:left w:val="single" w:sz="4" w:space="0" w:color="auto"/>
              <w:right w:val="single" w:sz="4" w:space="0" w:color="auto"/>
            </w:tcBorders>
            <w:noWrap/>
            <w:vAlign w:val="center"/>
          </w:tcPr>
          <w:p>
            <w:pPr>
              <w:autoSpaceDN w:val="0"/>
              <w:spacing w:line="240" w:lineRule="atLeast"/>
              <w:ind w:firstLine="0"/>
              <w:rPr>
                <w:rFonts w:ascii="Times New Roman" w:eastAsia="宋体" w:hAnsi="Times New Roman" w:cs="Times New Roman"/>
                <w:kern w:val="2"/>
                <w:sz w:val="21"/>
                <w:szCs w:val="21"/>
                <w:lang w:bidi="en-US"/>
              </w:rPr>
            </w:pPr>
            <w:r>
              <w:rPr>
                <w:rFonts w:ascii="宋体" w:eastAsia="宋体" w:cs="Times New Roman" w:hint="eastAsia"/>
                <w:kern w:val="2"/>
                <w:sz w:val="21"/>
                <w:szCs w:val="21"/>
                <w:lang w:bidi="en-US"/>
              </w:rPr>
              <w:t>现场出现故障时，工程师即时响应维修处理。如果现场无法排除故障，工程师应及时做信息反馈，并在约定时限内完成维修工作。</w:t>
            </w:r>
          </w:p>
          <w:p>
            <w:pPr>
              <w:autoSpaceDN w:val="0"/>
              <w:spacing w:line="240" w:lineRule="atLeast"/>
              <w:ind w:firstLine="0"/>
              <w:rPr>
                <w:rFonts w:ascii="Times New Roman" w:eastAsia="宋体" w:hAnsi="Times New Roman" w:cs="Times New Roman"/>
                <w:kern w:val="2"/>
                <w:sz w:val="21"/>
                <w:szCs w:val="21"/>
                <w:lang w:bidi="en-US"/>
              </w:rPr>
            </w:pPr>
            <w:r>
              <w:rPr>
                <w:rFonts w:ascii="宋体" w:eastAsia="宋体" w:cs="Times New Roman" w:hint="eastAsia"/>
                <w:kern w:val="2"/>
                <w:sz w:val="21"/>
                <w:szCs w:val="21"/>
                <w:lang w:bidi="en-US"/>
              </w:rPr>
              <w:t>故障根据不同情况分为一般故障、复杂故障、重大故障</w:t>
            </w:r>
            <w:r>
              <w:rPr>
                <w:rFonts w:ascii="Times New Roman" w:eastAsia="宋体" w:hAnsi="Times New Roman" w:cs="Times New Roman"/>
                <w:kern w:val="2"/>
                <w:sz w:val="21"/>
                <w:szCs w:val="21"/>
                <w:lang w:bidi="en-US"/>
              </w:rPr>
              <w:t>3</w:t>
            </w:r>
            <w:r>
              <w:rPr>
                <w:rFonts w:ascii="宋体" w:eastAsia="宋体" w:cs="Times New Roman" w:hint="eastAsia"/>
                <w:kern w:val="2"/>
                <w:sz w:val="21"/>
                <w:szCs w:val="21"/>
                <w:lang w:bidi="en-US"/>
              </w:rPr>
              <w:t>类。一般故障的修复时限为</w:t>
            </w:r>
            <w:r>
              <w:rPr>
                <w:rFonts w:ascii="Times New Roman" w:eastAsia="宋体" w:hAnsi="Times New Roman" w:cs="Times New Roman"/>
                <w:kern w:val="2"/>
                <w:sz w:val="21"/>
                <w:szCs w:val="21"/>
                <w:lang w:bidi="en-US"/>
              </w:rPr>
              <w:t>2</w:t>
            </w:r>
            <w:r>
              <w:rPr>
                <w:rFonts w:ascii="宋体" w:eastAsia="宋体" w:cs="Times New Roman" w:hint="eastAsia"/>
                <w:kern w:val="2"/>
                <w:sz w:val="21"/>
                <w:szCs w:val="21"/>
                <w:lang w:bidi="en-US"/>
              </w:rPr>
              <w:t>小时，复杂故障的修复时限为</w:t>
            </w:r>
            <w:r>
              <w:rPr>
                <w:rFonts w:ascii="Times New Roman" w:eastAsia="宋体" w:hAnsi="Times New Roman" w:cs="Times New Roman"/>
                <w:kern w:val="2"/>
                <w:sz w:val="21"/>
                <w:szCs w:val="21"/>
                <w:lang w:bidi="en-US"/>
              </w:rPr>
              <w:t>8</w:t>
            </w:r>
            <w:r>
              <w:rPr>
                <w:rFonts w:ascii="宋体" w:eastAsia="宋体" w:cs="Times New Roman" w:hint="eastAsia"/>
                <w:kern w:val="2"/>
                <w:sz w:val="21"/>
                <w:szCs w:val="21"/>
                <w:lang w:bidi="en-US"/>
              </w:rPr>
              <w:t>小时，重大故障的修复时限为</w:t>
            </w:r>
            <w:r>
              <w:rPr>
                <w:rFonts w:ascii="Times New Roman" w:eastAsia="宋体" w:hAnsi="Times New Roman" w:cs="Times New Roman"/>
                <w:kern w:val="2"/>
                <w:sz w:val="21"/>
                <w:szCs w:val="21"/>
                <w:lang w:bidi="en-US"/>
              </w:rPr>
              <w:t>72</w:t>
            </w:r>
            <w:r>
              <w:rPr>
                <w:rFonts w:ascii="宋体" w:eastAsia="宋体" w:cs="Times New Roman" w:hint="eastAsia"/>
                <w:kern w:val="2"/>
                <w:sz w:val="21"/>
                <w:szCs w:val="21"/>
                <w:lang w:bidi="en-US"/>
              </w:rPr>
              <w:t>小时（新疆、西藏、内蒙古、黑龙江、云南地区重大故障修复时限为</w:t>
            </w:r>
            <w:r>
              <w:rPr>
                <w:rFonts w:ascii="Times New Roman" w:eastAsia="宋体" w:hAnsi="Times New Roman" w:cs="Times New Roman"/>
                <w:kern w:val="2"/>
                <w:sz w:val="21"/>
                <w:szCs w:val="21"/>
                <w:lang w:bidi="en-US"/>
              </w:rPr>
              <w:t>120</w:t>
            </w:r>
            <w:r>
              <w:rPr>
                <w:rFonts w:ascii="宋体" w:eastAsia="宋体" w:cs="Times New Roman" w:hint="eastAsia"/>
                <w:kern w:val="2"/>
                <w:sz w:val="21"/>
                <w:szCs w:val="21"/>
                <w:lang w:bidi="en-US"/>
              </w:rPr>
              <w:t>小时）。具体故障描述和分类详见附件</w:t>
            </w:r>
            <w:r>
              <w:rPr>
                <w:rFonts w:ascii="Times New Roman" w:eastAsia="宋体" w:hAnsi="Times New Roman" w:cs="Times New Roman"/>
                <w:kern w:val="2"/>
                <w:sz w:val="21"/>
                <w:szCs w:val="21"/>
                <w:lang w:bidi="en-US"/>
              </w:rPr>
              <w:t>2</w:t>
            </w:r>
            <w:r>
              <w:rPr>
                <w:rFonts w:ascii="宋体" w:eastAsia="宋体" w:cs="Times New Roman" w:hint="eastAsia"/>
                <w:kern w:val="2"/>
                <w:sz w:val="21"/>
                <w:szCs w:val="21"/>
                <w:lang w:bidi="en-US"/>
              </w:rPr>
              <w:t>《故障及分类》。</w:t>
            </w:r>
          </w:p>
          <w:p>
            <w:pPr>
              <w:autoSpaceDN w:val="0"/>
              <w:spacing w:line="240" w:lineRule="atLeast"/>
              <w:ind w:firstLine="0"/>
              <w:rPr>
                <w:rFonts w:ascii="Times New Roman" w:eastAsia="宋体" w:hAnsi="Times New Roman" w:cs="Times New Roman"/>
                <w:kern w:val="2"/>
                <w:sz w:val="21"/>
                <w:szCs w:val="21"/>
                <w:lang w:bidi="en-US"/>
              </w:rPr>
            </w:pPr>
            <w:r>
              <w:rPr>
                <w:rFonts w:ascii="宋体" w:eastAsia="宋体" w:cs="Times New Roman" w:hint="eastAsia"/>
                <w:kern w:val="2"/>
                <w:sz w:val="21"/>
                <w:szCs w:val="21"/>
                <w:lang w:bidi="en-US"/>
              </w:rPr>
              <w:t>任何故障维修工作均需按照规范的作业流程进行，并将设备运行状态和各类维修维护质量记录适时反馈。</w:t>
            </w:r>
          </w:p>
          <w:p>
            <w:pPr>
              <w:spacing w:line="240" w:lineRule="exact"/>
              <w:ind w:firstLine="0"/>
              <w:rPr>
                <w:rFonts w:ascii="Times New Roman" w:eastAsia="宋体" w:hAnsi="Times New Roman" w:cs="Times New Roman"/>
                <w:kern w:val="2"/>
                <w:sz w:val="21"/>
                <w:szCs w:val="21"/>
              </w:rPr>
            </w:pPr>
            <w:r>
              <w:rPr>
                <w:rFonts w:ascii="宋体" w:eastAsia="宋体" w:cs="Times New Roman" w:hint="eastAsia"/>
                <w:kern w:val="2"/>
                <w:sz w:val="21"/>
                <w:szCs w:val="21"/>
                <w:lang w:bidi="en-US"/>
              </w:rPr>
              <w:t>针对重大故障，投标人应及时派加速器、探测器、软件系统方面技术专家到现场诊断、排除。</w:t>
            </w:r>
          </w:p>
        </w:tc>
        <w:tc>
          <w:tcPr>
            <w:tcW w:w="1919" w:type="dxa"/>
            <w:noWrap/>
            <w:vAlign w:val="center"/>
          </w:tcPr>
          <w:p>
            <w:pPr>
              <w:spacing w:line="240" w:lineRule="auto"/>
              <w:ind w:firstLine="0"/>
              <w:rPr>
                <w:rFonts w:ascii="宋体" w:eastAsia="宋体" w:cs="Times New Roman"/>
                <w:kern w:val="2"/>
                <w:sz w:val="21"/>
                <w:szCs w:val="21"/>
                <w:lang w:bidi="en-US"/>
              </w:rPr>
            </w:pPr>
            <w:r>
              <w:rPr>
                <w:rFonts w:ascii="宋体" w:eastAsia="宋体" w:cs="Times New Roman" w:hint="eastAsia"/>
                <w:kern w:val="2"/>
                <w:sz w:val="21"/>
                <w:szCs w:val="21"/>
                <w:lang w:bidi="en-US"/>
              </w:rPr>
              <w:t>否</w:t>
            </w:r>
          </w:p>
        </w:tc>
      </w:tr>
    </w:tbl>
    <w:p>
      <w:pPr>
        <w:spacing w:line="240" w:lineRule="auto"/>
        <w:ind w:firstLine="0"/>
        <w:rPr>
          <w:rFonts w:ascii="宋体" w:eastAsia="宋体" w:cs="Times New Roman"/>
          <w:kern w:val="2"/>
          <w:sz w:val="21"/>
        </w:rPr>
      </w:pPr>
    </w:p>
    <w:p>
      <w:pPr>
        <w:numPr>
          <w:ilvl w:val="0"/>
          <w:numId w:val="2"/>
        </w:numPr>
        <w:spacing w:line="240" w:lineRule="auto"/>
        <w:rPr>
          <w:rFonts w:ascii="宋体" w:eastAsia="宋体" w:cs="Times New Roman"/>
          <w:b/>
          <w:kern w:val="2"/>
          <w:sz w:val="32"/>
          <w:szCs w:val="32"/>
        </w:rPr>
      </w:pPr>
      <w:r>
        <w:rPr>
          <w:rFonts w:ascii="宋体" w:eastAsia="宋体" w:cs="Times New Roman" w:hint="eastAsia"/>
          <w:b/>
          <w:kern w:val="2"/>
          <w:sz w:val="32"/>
          <w:szCs w:val="32"/>
        </w:rPr>
        <w:t>服务要求</w:t>
      </w:r>
    </w:p>
    <w:p>
      <w:pPr>
        <w:spacing w:line="560" w:lineRule="exact"/>
        <w:ind w:firstLine="420" w:firstLineChars="200"/>
        <w:rPr>
          <w:rFonts w:ascii="宋体" w:eastAsia="宋体" w:cs="Times New Roman"/>
          <w:kern w:val="2"/>
        </w:rPr>
      </w:pPr>
      <w:r>
        <w:rPr>
          <w:rFonts w:ascii="宋体" w:eastAsia="宋体" w:cs="Times New Roman" w:hint="eastAsia"/>
          <w:kern w:val="2"/>
        </w:rPr>
        <w:t>①★代表实质性指标，不满足该指标项将导致投标被拒绝；加 “▲”标记表示为重要指标项，无标识则表示一般指标项，如不满足将影响评分。</w:t>
      </w:r>
    </w:p>
    <w:p>
      <w:pPr>
        <w:spacing w:line="560" w:lineRule="exact"/>
        <w:ind w:firstLine="420" w:firstLineChars="200"/>
        <w:rPr>
          <w:rFonts w:ascii="Times New Roman" w:eastAsia="宋体" w:hAnsi="Times New Roman" w:cs="Times New Roman"/>
          <w:kern w:val="2"/>
          <w:sz w:val="21"/>
        </w:rPr>
      </w:pPr>
      <w:r>
        <w:rPr>
          <w:rFonts w:ascii="宋体" w:eastAsia="宋体" w:cs="Times New Roman" w:hint="eastAsia"/>
          <w:kern w:val="2"/>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Borders>
              <w:top w:val="single" w:sz="4" w:space="0" w:color="auto"/>
              <w:left w:val="single" w:sz="4" w:space="0" w:color="auto"/>
              <w:bottom w:val="single" w:sz="4" w:space="0" w:color="auto"/>
              <w:right w:val="single" w:sz="4" w:space="0" w:color="auto"/>
            </w:tcBorders>
            <w:noWrap/>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序号</w:t>
            </w:r>
          </w:p>
        </w:tc>
        <w:tc>
          <w:tcPr>
            <w:tcW w:w="1140" w:type="dxa"/>
            <w:tcBorders>
              <w:top w:val="single" w:sz="4" w:space="0" w:color="auto"/>
              <w:left w:val="single" w:sz="4" w:space="0" w:color="auto"/>
              <w:bottom w:val="single" w:sz="4" w:space="0" w:color="auto"/>
              <w:right w:val="single" w:sz="4" w:space="0" w:color="auto"/>
            </w:tcBorders>
            <w:noWrap/>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内容</w:t>
            </w:r>
          </w:p>
        </w:tc>
        <w:tc>
          <w:tcPr>
            <w:tcW w:w="1196" w:type="dxa"/>
            <w:tcBorders>
              <w:top w:val="single" w:sz="4" w:space="0" w:color="auto"/>
              <w:left w:val="single" w:sz="4" w:space="0" w:color="auto"/>
              <w:bottom w:val="single" w:sz="4" w:space="0" w:color="auto"/>
              <w:right w:val="single" w:sz="4" w:space="0" w:color="auto"/>
            </w:tcBorders>
            <w:noWrap/>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重要性</w:t>
            </w:r>
          </w:p>
        </w:tc>
        <w:tc>
          <w:tcPr>
            <w:tcW w:w="3690" w:type="dxa"/>
            <w:tcBorders>
              <w:top w:val="single" w:sz="4" w:space="0" w:color="auto"/>
              <w:left w:val="single" w:sz="4" w:space="0" w:color="auto"/>
              <w:bottom w:val="single" w:sz="4" w:space="0" w:color="auto"/>
              <w:right w:val="single" w:sz="4" w:space="0" w:color="auto"/>
            </w:tcBorders>
            <w:noWrap/>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服务要求标准</w:t>
            </w:r>
          </w:p>
        </w:tc>
        <w:tc>
          <w:tcPr>
            <w:tcW w:w="1685" w:type="dxa"/>
            <w:tcBorders>
              <w:top w:val="single" w:sz="4" w:space="0" w:color="auto"/>
              <w:left w:val="single" w:sz="4" w:space="0" w:color="auto"/>
              <w:bottom w:val="single" w:sz="4" w:space="0" w:color="auto"/>
              <w:right w:val="single" w:sz="4" w:space="0" w:color="auto"/>
            </w:tcBorders>
            <w:noWrap/>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证明材料要求</w:t>
            </w:r>
          </w:p>
        </w:tc>
      </w:tr>
      <w:tr>
        <w:tblPrEx>
          <w:tblW w:w="8519" w:type="dxa"/>
          <w:jc w:val="left"/>
          <w:tblInd w:w="0" w:type="dxa"/>
          <w:tblLayout w:type="fixed"/>
          <w:tblCellMar>
            <w:top w:w="0" w:type="dxa"/>
            <w:left w:w="108" w:type="dxa"/>
            <w:bottom w:w="0" w:type="dxa"/>
            <w:right w:w="108" w:type="dxa"/>
          </w:tblCellMar>
        </w:tblPrEx>
        <w:trPr>
          <w:trHeight w:val="274"/>
          <w:jc w:val="left"/>
        </w:trPr>
        <w:tc>
          <w:tcPr>
            <w:tcW w:w="808" w:type="dxa"/>
            <w:vMerge w:val="restart"/>
            <w:noWrap/>
            <w:vAlign w:val="center"/>
          </w:tcPr>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r>
              <w:rPr>
                <w:rFonts w:ascii="宋体" w:eastAsia="宋体" w:cs="Times New Roman" w:hint="eastAsia"/>
                <w:kern w:val="2"/>
                <w:sz w:val="21"/>
              </w:rPr>
              <w:t>1</w:t>
            </w: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r>
              <w:rPr>
                <w:rFonts w:ascii="宋体" w:eastAsia="宋体" w:cs="Times New Roman" w:hint="eastAsia"/>
                <w:kern w:val="2"/>
              </w:rPr>
              <w:t>1</w:t>
            </w: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tc>
        <w:tc>
          <w:tcPr>
            <w:tcW w:w="1140" w:type="dxa"/>
            <w:vMerge w:val="restart"/>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jc w:val="center"/>
              <w:rPr>
                <w:rFonts w:ascii="宋体" w:eastAsia="宋体" w:cs="Times New Roman"/>
                <w:kern w:val="2"/>
                <w:sz w:val="21"/>
              </w:rPr>
            </w:pPr>
            <w:r>
              <w:rPr>
                <w:rFonts w:ascii="宋体" w:eastAsia="宋体" w:cs="Times New Roman" w:hint="eastAsia"/>
                <w:kern w:val="2"/>
                <w:sz w:val="21"/>
              </w:rPr>
              <w:t>投标人服务标准</w:t>
            </w: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jc w:val="center"/>
              <w:rPr>
                <w:rFonts w:ascii="宋体" w:eastAsia="宋体" w:cs="Times New Roman"/>
                <w:kern w:val="2"/>
                <w:sz w:val="21"/>
              </w:rPr>
            </w:pPr>
            <w:r>
              <w:rPr>
                <w:rFonts w:ascii="宋体" w:eastAsia="宋体" w:cs="Times New Roman" w:hint="eastAsia"/>
                <w:kern w:val="2"/>
                <w:sz w:val="21"/>
              </w:rPr>
              <w:t>投标人服务标准</w:t>
            </w: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Times New Roman" w:eastAsia="宋体" w:hAnsi="Times New Roman" w:cs="Times New Roman"/>
                <w:kern w:val="2"/>
                <w:sz w:val="21"/>
              </w:rPr>
            </w:pP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宋体" w:hint="eastAsia"/>
                <w:kern w:val="2"/>
                <w:sz w:val="21"/>
                <w:szCs w:val="21"/>
              </w:rPr>
              <w:t>★</w:t>
            </w: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b/>
                <w:kern w:val="2"/>
                <w:sz w:val="21"/>
                <w:szCs w:val="21"/>
              </w:rPr>
            </w:pPr>
            <w:r>
              <w:rPr>
                <w:rFonts w:ascii="宋体" w:eastAsia="宋体" w:cs="宋体" w:hint="eastAsia"/>
                <w:b/>
                <w:kern w:val="2"/>
                <w:sz w:val="21"/>
                <w:szCs w:val="21"/>
              </w:rPr>
              <w:t>运维服务总体要求</w:t>
            </w:r>
          </w:p>
          <w:p>
            <w:pPr>
              <w:spacing w:line="240" w:lineRule="exact"/>
              <w:ind w:firstLine="0"/>
              <w:rPr>
                <w:rFonts w:ascii="宋体" w:eastAsia="宋体" w:cs="宋体"/>
                <w:kern w:val="2"/>
                <w:sz w:val="21"/>
                <w:szCs w:val="21"/>
              </w:rPr>
            </w:pPr>
            <w:r>
              <w:rPr>
                <w:rFonts w:ascii="宋体" w:eastAsia="宋体" w:cs="宋体"/>
                <w:kern w:val="2"/>
                <w:sz w:val="21"/>
                <w:szCs w:val="21"/>
              </w:rPr>
              <w:t>1</w:t>
            </w:r>
            <w:r>
              <w:rPr>
                <w:rFonts w:ascii="宋体" w:eastAsia="宋体" w:cs="宋体" w:hint="eastAsia"/>
                <w:kern w:val="2"/>
                <w:sz w:val="21"/>
                <w:szCs w:val="21"/>
              </w:rPr>
              <w:t>、能力要求</w:t>
            </w:r>
          </w:p>
          <w:p>
            <w:pPr>
              <w:spacing w:line="240" w:lineRule="exact"/>
              <w:ind w:firstLine="0"/>
              <w:rPr>
                <w:rFonts w:ascii="方正楷体_GBK" w:eastAsia="方正楷体_GBK" w:cs="宋体"/>
                <w:b/>
                <w:kern w:val="2"/>
                <w:sz w:val="21"/>
                <w:szCs w:val="21"/>
              </w:rPr>
            </w:pPr>
            <w:r>
              <w:rPr>
                <w:rFonts w:ascii="宋体" w:eastAsia="宋体" w:cs="宋体"/>
                <w:kern w:val="2"/>
                <w:sz w:val="21"/>
                <w:szCs w:val="21"/>
              </w:rPr>
              <w:t>1.</w:t>
            </w:r>
            <w:r>
              <w:rPr>
                <w:rFonts w:ascii="宋体" w:eastAsia="宋体" w:cs="宋体" w:hint="eastAsia"/>
                <w:kern w:val="2"/>
                <w:sz w:val="21"/>
                <w:szCs w:val="21"/>
              </w:rPr>
              <w:t>1★投标人具有维修维护</w:t>
            </w:r>
            <w:r>
              <w:rPr>
                <w:rFonts w:ascii="宋体" w:eastAsia="宋体" w:cs="宋体"/>
                <w:kern w:val="2"/>
                <w:sz w:val="21"/>
                <w:szCs w:val="21"/>
              </w:rPr>
              <w:t>H986</w:t>
            </w:r>
            <w:r>
              <w:rPr>
                <w:rFonts w:ascii="宋体" w:eastAsia="宋体" w:cs="宋体" w:hint="eastAsia"/>
                <w:kern w:val="2"/>
                <w:sz w:val="21"/>
                <w:szCs w:val="21"/>
              </w:rPr>
              <w:t>全部分系统的能力，</w:t>
            </w:r>
            <w:r>
              <w:rPr>
                <w:rFonts w:ascii="宋体" w:eastAsia="宋体" w:cs="宋体"/>
                <w:kern w:val="2"/>
                <w:sz w:val="21"/>
                <w:szCs w:val="21"/>
              </w:rPr>
              <w:t>具备钴60射线源拆卸安装能力。包括对射线源分系统、探测器分系统、扫描装置分系统、运行检查分系统、系统监控部分（含扫描控制分系统、辐射安全分系统）和数据管理分系统等全部分系统的维修能力。</w:t>
            </w:r>
          </w:p>
        </w:tc>
        <w:tc>
          <w:tcPr>
            <w:tcW w:w="1685" w:type="dxa"/>
            <w:noWrap/>
            <w:vAlign w:val="center"/>
          </w:tcPr>
          <w:p>
            <w:pPr>
              <w:autoSpaceDN w:val="0"/>
              <w:spacing w:line="240" w:lineRule="atLeast"/>
              <w:ind w:firstLine="0"/>
              <w:jc w:val="left"/>
              <w:rPr>
                <w:rFonts w:ascii="Times New Roman" w:eastAsia="宋体" w:hAnsi="Times New Roman" w:cs="Times New Roman"/>
                <w:kern w:val="2"/>
                <w:sz w:val="21"/>
              </w:rPr>
            </w:pPr>
            <w:r>
              <w:rPr>
                <w:rFonts w:ascii="宋体" w:eastAsia="宋体" w:cs="宋体" w:hint="eastAsia"/>
                <w:kern w:val="2"/>
                <w:sz w:val="21"/>
                <w:szCs w:val="21"/>
              </w:rPr>
              <w:t>提供加盖投标人公章的相关承诺书</w:t>
            </w:r>
          </w:p>
          <w:p>
            <w:pPr>
              <w:spacing w:line="240" w:lineRule="exact"/>
              <w:ind w:firstLine="0"/>
              <w:jc w:val="left"/>
              <w:rPr>
                <w:rFonts w:ascii="宋体" w:eastAsia="宋体" w:cs="Times New Roman"/>
                <w:kern w:val="2"/>
                <w:sz w:val="21"/>
              </w:rPr>
            </w:pP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1.</w:t>
            </w:r>
            <w:r>
              <w:rPr>
                <w:rFonts w:ascii="宋体" w:eastAsia="宋体" w:cs="宋体" w:hint="eastAsia"/>
                <w:kern w:val="2"/>
                <w:sz w:val="21"/>
                <w:szCs w:val="21"/>
              </w:rPr>
              <w:t>2投标人具备处置现场辐射误照等紧急事故的实施能力和作业指导能力。</w:t>
            </w:r>
          </w:p>
        </w:tc>
        <w:tc>
          <w:tcPr>
            <w:tcW w:w="1685" w:type="dxa"/>
            <w:noWrap/>
            <w:vAlign w:val="center"/>
          </w:tcPr>
          <w:p>
            <w:pPr>
              <w:autoSpaceDN w:val="0"/>
              <w:spacing w:line="240" w:lineRule="atLeast"/>
              <w:ind w:firstLine="0"/>
              <w:jc w:val="center"/>
              <w:rPr>
                <w:rFonts w:ascii="Times New Roman" w:eastAsia="宋体" w:hAnsi="Times New Roman" w:cs="Times New Roman"/>
                <w:kern w:val="2"/>
                <w:sz w:val="21"/>
              </w:rPr>
            </w:pPr>
            <w:r>
              <w:rPr>
                <w:rFonts w:ascii="宋体" w:eastAsia="宋体" w:cs="宋体" w:hint="eastAsia"/>
                <w:kern w:val="2"/>
                <w:sz w:val="21"/>
                <w:szCs w:val="21"/>
              </w:rPr>
              <w:t>否</w:t>
            </w:r>
          </w:p>
          <w:p>
            <w:pPr>
              <w:autoSpaceDN w:val="0"/>
              <w:spacing w:line="240" w:lineRule="atLeast"/>
              <w:ind w:firstLine="0"/>
              <w:jc w:val="left"/>
              <w:rPr>
                <w:rFonts w:ascii="宋体" w:eastAsia="宋体" w:cs="宋体"/>
                <w:kern w:val="2"/>
                <w:sz w:val="21"/>
                <w:szCs w:val="21"/>
              </w:rPr>
            </w:pP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1.</w:t>
            </w:r>
            <w:r>
              <w:rPr>
                <w:rFonts w:ascii="宋体" w:eastAsia="宋体" w:cs="宋体" w:hint="eastAsia"/>
                <w:kern w:val="2"/>
                <w:sz w:val="21"/>
                <w:szCs w:val="21"/>
              </w:rPr>
              <w:t>3投标人具备维护安装在高原、极寒、高温地区</w:t>
            </w:r>
            <w:r>
              <w:rPr>
                <w:rFonts w:ascii="宋体" w:eastAsia="宋体" w:cs="宋体"/>
                <w:kern w:val="2"/>
                <w:sz w:val="21"/>
                <w:szCs w:val="21"/>
              </w:rPr>
              <w:t>H986</w:t>
            </w:r>
            <w:r>
              <w:rPr>
                <w:rFonts w:ascii="宋体" w:eastAsia="宋体" w:cs="宋体" w:hint="eastAsia"/>
                <w:kern w:val="2"/>
                <w:sz w:val="21"/>
                <w:szCs w:val="21"/>
              </w:rPr>
              <w:t>系统的条件和能力。</w:t>
            </w:r>
          </w:p>
        </w:tc>
        <w:tc>
          <w:tcPr>
            <w:tcW w:w="1685" w:type="dxa"/>
            <w:noWrap/>
            <w:vAlign w:val="center"/>
          </w:tcPr>
          <w:p>
            <w:pPr>
              <w:autoSpaceDN w:val="0"/>
              <w:spacing w:line="240" w:lineRule="atLeast"/>
              <w:ind w:firstLine="0"/>
              <w:jc w:val="center"/>
              <w:rPr>
                <w:rFonts w:ascii="Times New Roman" w:eastAsia="宋体" w:hAnsi="Times New Roman" w:cs="Times New Roman"/>
                <w:kern w:val="2"/>
                <w:sz w:val="21"/>
              </w:rPr>
            </w:pPr>
            <w:r>
              <w:rPr>
                <w:rFonts w:ascii="宋体" w:eastAsia="宋体" w:cs="宋体" w:hint="eastAsia"/>
                <w:kern w:val="2"/>
                <w:sz w:val="21"/>
                <w:szCs w:val="21"/>
              </w:rPr>
              <w:t>否</w:t>
            </w:r>
          </w:p>
          <w:p>
            <w:pPr>
              <w:autoSpaceDN w:val="0"/>
              <w:spacing w:line="240" w:lineRule="atLeast"/>
              <w:ind w:firstLine="0"/>
              <w:jc w:val="left"/>
              <w:rPr>
                <w:rFonts w:ascii="宋体" w:eastAsia="宋体" w:cs="宋体"/>
                <w:kern w:val="2"/>
                <w:sz w:val="21"/>
                <w:szCs w:val="21"/>
              </w:rPr>
            </w:pP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1.</w:t>
            </w:r>
            <w:r>
              <w:rPr>
                <w:rFonts w:ascii="宋体" w:eastAsia="宋体" w:cs="宋体" w:hint="eastAsia"/>
                <w:kern w:val="2"/>
                <w:sz w:val="21"/>
                <w:szCs w:val="21"/>
              </w:rPr>
              <w:t>4投标人具备因非正常使用（含不可抗力因素）造成设备故障的修复能力。</w:t>
            </w:r>
          </w:p>
        </w:tc>
        <w:tc>
          <w:tcPr>
            <w:tcW w:w="1685" w:type="dxa"/>
            <w:noWrap/>
            <w:vAlign w:val="center"/>
          </w:tcPr>
          <w:p>
            <w:pPr>
              <w:autoSpaceDN w:val="0"/>
              <w:spacing w:line="240" w:lineRule="atLeast"/>
              <w:ind w:firstLine="0"/>
              <w:jc w:val="center"/>
              <w:rPr>
                <w:rFonts w:ascii="Times New Roman" w:eastAsia="宋体" w:hAnsi="Times New Roman" w:cs="Times New Roman"/>
                <w:kern w:val="2"/>
                <w:sz w:val="21"/>
              </w:rPr>
            </w:pPr>
            <w:r>
              <w:rPr>
                <w:rFonts w:ascii="宋体" w:eastAsia="宋体" w:cs="宋体" w:hint="eastAsia"/>
                <w:kern w:val="2"/>
                <w:sz w:val="21"/>
                <w:szCs w:val="21"/>
              </w:rPr>
              <w:t>否</w:t>
            </w:r>
          </w:p>
          <w:p>
            <w:pPr>
              <w:autoSpaceDN w:val="0"/>
              <w:spacing w:line="240" w:lineRule="atLeast"/>
              <w:ind w:firstLine="0"/>
              <w:jc w:val="left"/>
              <w:rPr>
                <w:rFonts w:ascii="宋体" w:eastAsia="宋体" w:cs="宋体"/>
                <w:kern w:val="2"/>
                <w:sz w:val="21"/>
                <w:szCs w:val="21"/>
              </w:rPr>
            </w:pP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1.</w:t>
            </w:r>
            <w:r>
              <w:rPr>
                <w:rFonts w:ascii="宋体" w:eastAsia="宋体" w:cs="宋体" w:hint="eastAsia"/>
                <w:kern w:val="2"/>
                <w:sz w:val="21"/>
                <w:szCs w:val="21"/>
              </w:rPr>
              <w:t>5投标人具备足够的维修维保服务衔接能力，能实现运维服务延续性、专业性和一致性，保证海关设备正常使用。</w:t>
            </w:r>
          </w:p>
        </w:tc>
        <w:tc>
          <w:tcPr>
            <w:tcW w:w="1685" w:type="dxa"/>
            <w:noWrap/>
            <w:vAlign w:val="center"/>
          </w:tcPr>
          <w:p>
            <w:pPr>
              <w:autoSpaceDN w:val="0"/>
              <w:spacing w:line="240" w:lineRule="atLeast"/>
              <w:ind w:firstLine="0"/>
              <w:jc w:val="center"/>
              <w:rPr>
                <w:rFonts w:ascii="Times New Roman" w:eastAsia="宋体" w:hAnsi="Times New Roman" w:cs="Times New Roman"/>
                <w:kern w:val="2"/>
                <w:sz w:val="21"/>
              </w:rPr>
            </w:pPr>
            <w:r>
              <w:rPr>
                <w:rFonts w:ascii="宋体" w:eastAsia="宋体" w:cs="宋体" w:hint="eastAsia"/>
                <w:kern w:val="2"/>
                <w:sz w:val="21"/>
                <w:szCs w:val="21"/>
              </w:rPr>
              <w:t>否</w:t>
            </w:r>
          </w:p>
          <w:p>
            <w:pPr>
              <w:autoSpaceDN w:val="0"/>
              <w:spacing w:line="240" w:lineRule="atLeast"/>
              <w:ind w:firstLine="0"/>
              <w:jc w:val="left"/>
              <w:rPr>
                <w:rFonts w:ascii="宋体" w:eastAsia="宋体" w:cs="宋体"/>
                <w:kern w:val="2"/>
                <w:sz w:val="21"/>
                <w:szCs w:val="21"/>
              </w:rPr>
            </w:pP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宋体" w:hint="eastAsia"/>
                <w:kern w:val="2"/>
                <w:sz w:val="21"/>
                <w:szCs w:val="21"/>
              </w:rPr>
              <w:t>★</w:t>
            </w: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2</w:t>
            </w:r>
            <w:r>
              <w:rPr>
                <w:rFonts w:ascii="宋体" w:eastAsia="宋体" w:cs="宋体" w:hint="eastAsia"/>
                <w:kern w:val="2"/>
                <w:sz w:val="21"/>
                <w:szCs w:val="21"/>
              </w:rPr>
              <w:t>、技术要求</w:t>
            </w:r>
          </w:p>
          <w:p>
            <w:pPr>
              <w:spacing w:line="240" w:lineRule="exact"/>
              <w:ind w:firstLine="0"/>
              <w:rPr>
                <w:rFonts w:ascii="方正楷体_GBK" w:eastAsia="方正楷体_GBK" w:cs="宋体"/>
                <w:kern w:val="2"/>
                <w:sz w:val="21"/>
                <w:szCs w:val="21"/>
              </w:rPr>
            </w:pPr>
            <w:r>
              <w:rPr>
                <w:rFonts w:ascii="宋体" w:eastAsia="宋体" w:cs="宋体"/>
                <w:kern w:val="2"/>
                <w:sz w:val="21"/>
                <w:szCs w:val="21"/>
              </w:rPr>
              <w:t>2.1</w:t>
            </w:r>
            <w:r>
              <w:rPr>
                <w:rFonts w:ascii="宋体" w:eastAsia="宋体" w:cs="宋体" w:hint="eastAsia"/>
                <w:kern w:val="2"/>
                <w:sz w:val="21"/>
                <w:szCs w:val="21"/>
              </w:rPr>
              <w:t>★</w:t>
            </w:r>
            <w:r>
              <w:rPr>
                <w:rFonts w:ascii="宋体" w:eastAsia="宋体" w:cs="宋体"/>
                <w:kern w:val="2"/>
                <w:sz w:val="21"/>
                <w:szCs w:val="21"/>
              </w:rPr>
              <w:t>投标人需具备II类射线装置、II类放射源容器及快门维修技术。</w:t>
            </w:r>
          </w:p>
        </w:tc>
        <w:tc>
          <w:tcPr>
            <w:tcW w:w="1685" w:type="dxa"/>
            <w:noWrap/>
            <w:vAlign w:val="center"/>
          </w:tcPr>
          <w:p>
            <w:pPr>
              <w:autoSpaceDN w:val="0"/>
              <w:spacing w:line="240" w:lineRule="exact"/>
              <w:ind w:firstLine="0"/>
              <w:rPr>
                <w:rFonts w:ascii="Times New Roman" w:eastAsia="宋体" w:hAnsi="Times New Roman" w:cs="Times New Roman"/>
                <w:kern w:val="2"/>
                <w:sz w:val="21"/>
                <w:szCs w:val="21"/>
              </w:rPr>
            </w:pPr>
            <w:r>
              <w:rPr>
                <w:rFonts w:ascii="宋体" w:eastAsia="宋体" w:cs="宋体" w:hint="eastAsia"/>
                <w:kern w:val="2"/>
                <w:sz w:val="21"/>
                <w:szCs w:val="21"/>
              </w:rPr>
              <w:t>提供加盖投标人公章的相关承诺书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r>
              <w:rPr>
                <w:rFonts w:ascii="宋体" w:eastAsia="宋体" w:cs="宋体" w:hint="eastAsia"/>
                <w:b/>
                <w:bCs/>
                <w:kern w:val="2"/>
                <w:sz w:val="21"/>
                <w:szCs w:val="21"/>
                <w:lang w:bidi="en-US"/>
              </w:rPr>
              <w:t>▲</w:t>
            </w:r>
          </w:p>
        </w:tc>
        <w:tc>
          <w:tcPr>
            <w:tcW w:w="3690" w:type="dxa"/>
            <w:tcBorders>
              <w:top w:val="single" w:sz="4" w:space="0" w:color="auto"/>
              <w:left w:val="single" w:sz="4" w:space="0" w:color="auto"/>
              <w:right w:val="single" w:sz="4" w:space="0" w:color="auto"/>
            </w:tcBorders>
            <w:noWrap/>
          </w:tcPr>
          <w:p>
            <w:pPr>
              <w:autoSpaceDN w:val="0"/>
              <w:spacing w:line="240" w:lineRule="exact"/>
              <w:ind w:firstLine="0"/>
              <w:rPr>
                <w:rFonts w:ascii="宋体" w:eastAsia="宋体" w:cs="宋体"/>
                <w:kern w:val="2"/>
                <w:sz w:val="21"/>
                <w:szCs w:val="21"/>
              </w:rPr>
            </w:pPr>
            <w:r>
              <w:rPr>
                <w:rFonts w:ascii="宋体" w:eastAsia="宋体" w:cs="宋体" w:hint="eastAsia"/>
                <w:kern w:val="2"/>
                <w:sz w:val="21"/>
                <w:szCs w:val="21"/>
              </w:rPr>
              <w:t>2.2</w:t>
            </w:r>
            <w:r>
              <w:rPr>
                <w:rFonts w:ascii="宋体" w:eastAsia="宋体" w:cs="宋体" w:hint="eastAsia"/>
                <w:b/>
                <w:bCs/>
                <w:kern w:val="2"/>
                <w:sz w:val="21"/>
                <w:szCs w:val="21"/>
                <w:lang w:bidi="en-US"/>
              </w:rPr>
              <w:t>▲</w:t>
            </w:r>
            <w:r>
              <w:rPr>
                <w:rFonts w:ascii="宋体" w:eastAsia="宋体" w:cs="宋体"/>
                <w:kern w:val="2"/>
                <w:sz w:val="21"/>
                <w:szCs w:val="21"/>
              </w:rPr>
              <w:t>投标人需掌握射线源、加速器、探测器、计算机软硬件、信息处理、电子技术、工业控制、机械等维修技术</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2.</w:t>
            </w:r>
            <w:r>
              <w:rPr>
                <w:rFonts w:ascii="宋体" w:eastAsia="宋体" w:cs="宋体" w:hint="eastAsia"/>
                <w:kern w:val="2"/>
                <w:sz w:val="21"/>
                <w:szCs w:val="21"/>
              </w:rPr>
              <w:t>3投标人需具备</w:t>
            </w:r>
            <w:r>
              <w:rPr>
                <w:rFonts w:ascii="宋体" w:eastAsia="宋体" w:cs="宋体"/>
                <w:kern w:val="2"/>
                <w:sz w:val="21"/>
                <w:szCs w:val="21"/>
              </w:rPr>
              <w:t>H986</w:t>
            </w:r>
            <w:r>
              <w:rPr>
                <w:rFonts w:ascii="宋体" w:eastAsia="宋体" w:cs="宋体" w:hint="eastAsia"/>
                <w:kern w:val="2"/>
                <w:sz w:val="21"/>
                <w:szCs w:val="21"/>
              </w:rPr>
              <w:t>系统的日常巡检、定期保养、故障维修、设备性能指标检测等预防性维护技术和规范。</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541"/>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2.</w:t>
            </w:r>
            <w:r>
              <w:rPr>
                <w:rFonts w:ascii="宋体" w:eastAsia="宋体" w:cs="宋体" w:hint="eastAsia"/>
                <w:kern w:val="2"/>
                <w:sz w:val="21"/>
                <w:szCs w:val="21"/>
              </w:rPr>
              <w:t>4投标人需熟悉和掌握</w:t>
            </w:r>
            <w:r>
              <w:rPr>
                <w:rFonts w:ascii="宋体" w:eastAsia="宋体" w:cs="宋体"/>
                <w:kern w:val="2"/>
                <w:sz w:val="21"/>
                <w:szCs w:val="21"/>
              </w:rPr>
              <w:t>H986</w:t>
            </w:r>
            <w:r>
              <w:rPr>
                <w:rFonts w:ascii="宋体" w:eastAsia="宋体" w:cs="宋体" w:hint="eastAsia"/>
                <w:kern w:val="2"/>
                <w:sz w:val="21"/>
                <w:szCs w:val="21"/>
              </w:rPr>
              <w:t>系统专业化的维护技术。</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563"/>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autoSpaceDN w:val="0"/>
              <w:spacing w:line="240" w:lineRule="exact"/>
              <w:ind w:firstLine="0"/>
              <w:rPr>
                <w:rFonts w:ascii="Times New Roman" w:eastAsia="宋体" w:hAnsi="Times New Roman" w:cs="Times New Roman"/>
                <w:kern w:val="2"/>
                <w:sz w:val="21"/>
              </w:rPr>
            </w:pPr>
            <w:r>
              <w:rPr>
                <w:rFonts w:ascii="宋体" w:eastAsia="宋体" w:cs="宋体"/>
                <w:kern w:val="2"/>
                <w:sz w:val="21"/>
                <w:szCs w:val="21"/>
              </w:rPr>
              <w:t>2.</w:t>
            </w:r>
            <w:r>
              <w:rPr>
                <w:rFonts w:ascii="宋体" w:eastAsia="宋体" w:cs="宋体" w:hint="eastAsia"/>
                <w:kern w:val="2"/>
                <w:sz w:val="21"/>
                <w:szCs w:val="21"/>
              </w:rPr>
              <w:t>5投标人需定期对工程师维修技术水平进行培训或考核。</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r>
              <w:rPr>
                <w:rFonts w:ascii="宋体" w:eastAsia="宋体" w:cs="宋体" w:hint="eastAsia"/>
                <w:kern w:val="2"/>
                <w:sz w:val="21"/>
                <w:szCs w:val="21"/>
              </w:rPr>
              <w:t>★</w:t>
            </w: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2.</w:t>
            </w:r>
            <w:r>
              <w:rPr>
                <w:rFonts w:ascii="宋体" w:eastAsia="宋体" w:cs="宋体" w:hint="eastAsia"/>
                <w:kern w:val="2"/>
                <w:sz w:val="21"/>
                <w:szCs w:val="21"/>
              </w:rPr>
              <w:t>6★投标人需确保运维期间每套</w:t>
            </w:r>
            <w:r>
              <w:rPr>
                <w:rFonts w:ascii="宋体" w:eastAsia="宋体" w:cs="宋体"/>
                <w:kern w:val="2"/>
                <w:sz w:val="21"/>
                <w:szCs w:val="21"/>
              </w:rPr>
              <w:t>H986</w:t>
            </w:r>
            <w:r>
              <w:rPr>
                <w:rFonts w:ascii="宋体" w:eastAsia="宋体" w:cs="宋体" w:hint="eastAsia"/>
                <w:kern w:val="2"/>
                <w:sz w:val="21"/>
                <w:szCs w:val="21"/>
              </w:rPr>
              <w:t>系统的性能、技术指标、图像质量和和辐射安全指标不能降低。</w:t>
            </w:r>
          </w:p>
        </w:tc>
        <w:tc>
          <w:tcPr>
            <w:tcW w:w="1685" w:type="dxa"/>
            <w:noWrap/>
            <w:vAlign w:val="center"/>
          </w:tcPr>
          <w:p>
            <w:pPr>
              <w:autoSpaceDN w:val="0"/>
              <w:spacing w:line="240" w:lineRule="exact"/>
              <w:ind w:firstLine="0"/>
              <w:rPr>
                <w:rFonts w:ascii="宋体" w:eastAsia="宋体" w:cs="宋体"/>
                <w:kern w:val="2"/>
                <w:sz w:val="21"/>
                <w:szCs w:val="21"/>
              </w:rPr>
            </w:pPr>
            <w:r>
              <w:rPr>
                <w:rFonts w:ascii="宋体" w:eastAsia="宋体" w:cs="宋体" w:hint="eastAsia"/>
                <w:kern w:val="2"/>
                <w:sz w:val="21"/>
                <w:szCs w:val="21"/>
              </w:rPr>
              <w:t>提供加盖投标人公章的相关承诺书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3</w:t>
            </w:r>
            <w:r>
              <w:rPr>
                <w:rFonts w:ascii="宋体" w:eastAsia="宋体" w:cs="宋体" w:hint="eastAsia"/>
                <w:kern w:val="2"/>
                <w:sz w:val="21"/>
                <w:szCs w:val="21"/>
              </w:rPr>
              <w:t>、质量要求</w:t>
            </w:r>
          </w:p>
          <w:p>
            <w:pPr>
              <w:spacing w:line="240" w:lineRule="exact"/>
              <w:ind w:firstLine="0"/>
              <w:rPr>
                <w:rFonts w:ascii="宋体" w:eastAsia="宋体" w:cs="宋体"/>
                <w:kern w:val="2"/>
                <w:sz w:val="21"/>
                <w:szCs w:val="21"/>
              </w:rPr>
            </w:pPr>
            <w:r>
              <w:rPr>
                <w:rFonts w:ascii="宋体" w:eastAsia="宋体" w:cs="宋体"/>
                <w:kern w:val="2"/>
                <w:sz w:val="21"/>
                <w:szCs w:val="21"/>
              </w:rPr>
              <w:t>3.1</w:t>
            </w:r>
            <w:r>
              <w:rPr>
                <w:rFonts w:ascii="宋体" w:eastAsia="宋体" w:cs="宋体" w:hint="eastAsia"/>
                <w:kern w:val="2"/>
                <w:sz w:val="21"/>
                <w:szCs w:val="21"/>
              </w:rPr>
              <w:t>投标人需严格按照</w:t>
            </w:r>
            <w:r>
              <w:rPr>
                <w:rFonts w:ascii="宋体" w:eastAsia="宋体" w:cs="宋体"/>
                <w:kern w:val="2"/>
                <w:sz w:val="21"/>
                <w:szCs w:val="21"/>
              </w:rPr>
              <w:t>ISO9001质量管理体系、ISO14001环境管理体系、OHSAS18001职业健康安全管理体系、ISO27001信息安全管理体系（或上述四项的同等管理体系）</w:t>
            </w:r>
            <w:r>
              <w:rPr>
                <w:rFonts w:ascii="宋体" w:eastAsia="宋体" w:cs="宋体" w:hint="eastAsia"/>
                <w:kern w:val="2"/>
                <w:sz w:val="21"/>
                <w:szCs w:val="21"/>
              </w:rPr>
              <w:t>的相关要求提供设备运维服务，并实施监视、测量和分析，持续改进管理体系的有效性</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3.2</w:t>
            </w:r>
            <w:r>
              <w:rPr>
                <w:rFonts w:ascii="宋体" w:eastAsia="宋体" w:cs="宋体" w:hint="eastAsia"/>
                <w:kern w:val="2"/>
                <w:sz w:val="21"/>
                <w:szCs w:val="21"/>
              </w:rPr>
              <w:t>投标人需严格落实工程师技术培训、考核与资质管理。</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3.3</w:t>
            </w:r>
            <w:r>
              <w:rPr>
                <w:rFonts w:ascii="宋体" w:eastAsia="宋体" w:cs="宋体" w:hint="eastAsia"/>
                <w:kern w:val="2"/>
                <w:sz w:val="21"/>
                <w:szCs w:val="21"/>
              </w:rPr>
              <w:t>投标人需严格实施客户满意度调查，评估运维服务质量。</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3.4</w:t>
            </w:r>
            <w:r>
              <w:rPr>
                <w:rFonts w:ascii="宋体" w:eastAsia="宋体" w:cs="宋体" w:hint="eastAsia"/>
                <w:kern w:val="2"/>
                <w:sz w:val="21"/>
                <w:szCs w:val="21"/>
              </w:rPr>
              <w:t>投标人需做好服务机构人员配置与备件供应保障。</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宋体" w:eastAsia="宋体" w:cs="Times New Roman"/>
                <w:kern w:val="2"/>
                <w:sz w:val="21"/>
              </w:rPr>
            </w:pPr>
            <w:r>
              <w:rPr>
                <w:rFonts w:ascii="宋体" w:eastAsia="宋体" w:cs="宋体" w:hint="eastAsia"/>
                <w:kern w:val="2"/>
                <w:sz w:val="21"/>
                <w:szCs w:val="21"/>
              </w:rPr>
              <w:t>★</w:t>
            </w: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b/>
                <w:kern w:val="2"/>
                <w:sz w:val="21"/>
                <w:szCs w:val="21"/>
              </w:rPr>
            </w:pPr>
            <w:r>
              <w:rPr>
                <w:rFonts w:ascii="宋体" w:eastAsia="宋体" w:cs="宋体"/>
                <w:b/>
                <w:kern w:val="2"/>
                <w:sz w:val="21"/>
                <w:szCs w:val="21"/>
              </w:rPr>
              <w:t>4</w:t>
            </w:r>
            <w:r>
              <w:rPr>
                <w:rFonts w:ascii="宋体" w:eastAsia="宋体" w:cs="宋体" w:hint="eastAsia"/>
                <w:b/>
                <w:kern w:val="2"/>
                <w:sz w:val="21"/>
                <w:szCs w:val="21"/>
              </w:rPr>
              <w:t>、安全要求</w:t>
            </w:r>
          </w:p>
          <w:p>
            <w:pPr>
              <w:spacing w:line="240" w:lineRule="exact"/>
              <w:ind w:firstLine="0"/>
              <w:rPr>
                <w:rFonts w:ascii="宋体" w:eastAsia="宋体" w:cs="宋体"/>
                <w:kern w:val="2"/>
                <w:sz w:val="21"/>
                <w:szCs w:val="21"/>
              </w:rPr>
            </w:pPr>
            <w:r>
              <w:rPr>
                <w:rFonts w:ascii="宋体" w:eastAsia="宋体" w:cs="宋体"/>
                <w:kern w:val="2"/>
                <w:sz w:val="21"/>
                <w:szCs w:val="21"/>
              </w:rPr>
              <w:t>4.1</w:t>
            </w:r>
            <w:r>
              <w:rPr>
                <w:rFonts w:ascii="宋体" w:eastAsia="宋体" w:cs="宋体" w:hint="eastAsia"/>
                <w:kern w:val="2"/>
                <w:sz w:val="21"/>
                <w:szCs w:val="21"/>
              </w:rPr>
              <w:t>★投标人在开展</w:t>
            </w:r>
            <w:r>
              <w:rPr>
                <w:rFonts w:ascii="宋体" w:eastAsia="宋体" w:cs="宋体"/>
                <w:kern w:val="2"/>
                <w:sz w:val="21"/>
                <w:szCs w:val="21"/>
              </w:rPr>
              <w:t>H986</w:t>
            </w:r>
            <w:r>
              <w:rPr>
                <w:rFonts w:ascii="宋体" w:eastAsia="宋体" w:cs="宋体" w:hint="eastAsia"/>
                <w:kern w:val="2"/>
                <w:sz w:val="21"/>
                <w:szCs w:val="21"/>
              </w:rPr>
              <w:t>系统运维服务工作中要严格贯彻“安全第一，预防为主”的安全方针，明确安全责任，确保服务实施过程中人员、设备和环境的安全。投标人需承诺所提供的运维服务不会对海关或其他第三方人员、财物和环境造成危害，如造成危害，由投标人承担全部直接责任和连带责任。</w:t>
            </w:r>
          </w:p>
        </w:tc>
        <w:tc>
          <w:tcPr>
            <w:tcW w:w="1685" w:type="dxa"/>
            <w:noWrap/>
            <w:vAlign w:val="center"/>
          </w:tcPr>
          <w:p>
            <w:pPr>
              <w:autoSpaceDN w:val="0"/>
              <w:spacing w:line="240" w:lineRule="exact"/>
              <w:ind w:firstLine="0"/>
              <w:rPr>
                <w:rFonts w:ascii="Times New Roman" w:eastAsia="宋体" w:hAnsi="Times New Roman" w:cs="Times New Roman"/>
                <w:kern w:val="2"/>
                <w:sz w:val="21"/>
                <w:szCs w:val="21"/>
              </w:rPr>
            </w:pPr>
            <w:r>
              <w:rPr>
                <w:rFonts w:ascii="宋体" w:eastAsia="宋体" w:cs="宋体" w:hint="eastAsia"/>
                <w:kern w:val="2"/>
                <w:sz w:val="21"/>
                <w:szCs w:val="21"/>
              </w:rPr>
              <w:t>提供加盖投标人公章的相关承诺书</w:t>
            </w:r>
          </w:p>
          <w:p>
            <w:pPr>
              <w:autoSpaceDN w:val="0"/>
              <w:spacing w:line="240" w:lineRule="atLeast"/>
              <w:ind w:firstLine="0"/>
              <w:jc w:val="left"/>
              <w:rPr>
                <w:rFonts w:ascii="宋体" w:eastAsia="宋体" w:cs="宋体"/>
                <w:kern w:val="2"/>
                <w:sz w:val="21"/>
                <w:szCs w:val="21"/>
              </w:rPr>
            </w:pP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4.2</w:t>
            </w:r>
            <w:r>
              <w:rPr>
                <w:rFonts w:ascii="宋体" w:eastAsia="宋体" w:cs="宋体" w:hint="eastAsia"/>
                <w:kern w:val="2"/>
                <w:sz w:val="21"/>
                <w:szCs w:val="21"/>
              </w:rPr>
              <w:t>投标人需加强对工程师的安全培训，明确工作中存在的各种危险源及相应防护措施，强化安全意识，按章操作，杜绝违章作业。</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4.3</w:t>
            </w:r>
            <w:r>
              <w:rPr>
                <w:rFonts w:ascii="宋体" w:eastAsia="宋体" w:cs="宋体" w:hint="eastAsia"/>
                <w:kern w:val="2"/>
                <w:sz w:val="21"/>
                <w:szCs w:val="21"/>
              </w:rPr>
              <w:t>投标人的运维服务工作要按照质量规范和要求开展，选择合理维护方式，保障设备安全运行。</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b/>
                <w:kern w:val="2"/>
                <w:sz w:val="21"/>
                <w:szCs w:val="21"/>
              </w:rPr>
            </w:pPr>
            <w:r>
              <w:rPr>
                <w:rFonts w:ascii="宋体" w:eastAsia="宋体" w:cs="宋体" w:hint="eastAsia"/>
                <w:b/>
                <w:kern w:val="2"/>
                <w:sz w:val="21"/>
                <w:szCs w:val="21"/>
              </w:rPr>
              <w:t>维修服务要求</w:t>
            </w:r>
          </w:p>
          <w:p>
            <w:pPr>
              <w:spacing w:line="240" w:lineRule="exact"/>
              <w:ind w:firstLine="0"/>
              <w:rPr>
                <w:rFonts w:ascii="宋体" w:eastAsia="宋体" w:cs="宋体"/>
                <w:kern w:val="2"/>
                <w:sz w:val="21"/>
                <w:szCs w:val="21"/>
              </w:rPr>
            </w:pPr>
            <w:r>
              <w:rPr>
                <w:rFonts w:ascii="宋体" w:eastAsia="宋体" w:cs="宋体"/>
                <w:kern w:val="2"/>
                <w:sz w:val="21"/>
                <w:szCs w:val="21"/>
              </w:rPr>
              <w:t>1</w:t>
            </w:r>
            <w:r>
              <w:rPr>
                <w:rFonts w:ascii="宋体" w:eastAsia="宋体" w:cs="宋体" w:hint="eastAsia"/>
                <w:kern w:val="2"/>
                <w:sz w:val="21"/>
                <w:szCs w:val="21"/>
              </w:rPr>
              <w:t>、总体要求</w:t>
            </w:r>
          </w:p>
          <w:p>
            <w:pPr>
              <w:spacing w:line="240" w:lineRule="exact"/>
              <w:ind w:firstLine="0"/>
              <w:rPr>
                <w:rFonts w:ascii="宋体" w:eastAsia="宋体" w:cs="宋体"/>
                <w:kern w:val="2"/>
                <w:sz w:val="21"/>
                <w:szCs w:val="21"/>
              </w:rPr>
            </w:pPr>
            <w:r>
              <w:rPr>
                <w:rFonts w:ascii="宋体" w:eastAsia="宋体" w:cs="宋体" w:hint="eastAsia"/>
                <w:kern w:val="2"/>
                <w:sz w:val="21"/>
                <w:szCs w:val="21"/>
              </w:rPr>
              <w:t>为保证设备运行率，投标人需提供专业运维服务，即时处理故障，所有维修工作均符合质量管理流程，提供的服务满足海关业务要求。</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宋体" w:hint="eastAsia"/>
                <w:kern w:val="2"/>
                <w:sz w:val="21"/>
                <w:szCs w:val="21"/>
              </w:rPr>
              <w:t>★</w:t>
            </w: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kern w:val="2"/>
                <w:sz w:val="21"/>
                <w:szCs w:val="21"/>
              </w:rPr>
              <w:t>2</w:t>
            </w:r>
            <w:r>
              <w:rPr>
                <w:rFonts w:ascii="宋体" w:eastAsia="宋体" w:cs="宋体" w:hint="eastAsia"/>
                <w:kern w:val="2"/>
                <w:sz w:val="21"/>
                <w:szCs w:val="21"/>
              </w:rPr>
              <w:t>、★服务模式要求</w:t>
            </w:r>
          </w:p>
          <w:p>
            <w:pPr>
              <w:spacing w:line="240" w:lineRule="exact"/>
              <w:ind w:firstLine="0"/>
              <w:rPr>
                <w:rFonts w:ascii="Times New Roman" w:eastAsia="宋体" w:hAnsi="Times New Roman" w:cs="Times New Roman"/>
                <w:kern w:val="2"/>
                <w:sz w:val="21"/>
                <w:szCs w:val="21"/>
              </w:rPr>
            </w:pPr>
            <w:r>
              <w:rPr>
                <w:rFonts w:ascii="宋体" w:eastAsia="宋体" w:cs="宋体" w:hint="eastAsia"/>
                <w:kern w:val="2"/>
                <w:sz w:val="21"/>
                <w:szCs w:val="21"/>
              </w:rPr>
              <w:t>投标人提供专业运维服务，参考《日常巡检项目》《月保养项目》《季保养项目》《半年保养项目》《年度保养项目》（详见附件</w:t>
            </w:r>
            <w:r>
              <w:rPr>
                <w:rFonts w:ascii="Times New Roman" w:eastAsia="宋体" w:hAnsi="Times New Roman" w:cs="Times New Roman"/>
                <w:kern w:val="2"/>
                <w:sz w:val="21"/>
                <w:szCs w:val="21"/>
              </w:rPr>
              <w:t>3—</w:t>
            </w:r>
            <w:r>
              <w:rPr>
                <w:rFonts w:ascii="宋体" w:eastAsia="宋体" w:cs="宋体" w:hint="eastAsia"/>
                <w:kern w:val="2"/>
                <w:sz w:val="21"/>
                <w:szCs w:val="21"/>
              </w:rPr>
              <w:t>附件</w:t>
            </w:r>
            <w:r>
              <w:rPr>
                <w:rFonts w:ascii="Times New Roman" w:eastAsia="宋体" w:hAnsi="Times New Roman" w:cs="Times New Roman"/>
                <w:kern w:val="2"/>
                <w:sz w:val="21"/>
                <w:szCs w:val="21"/>
              </w:rPr>
              <w:t>7</w:t>
            </w:r>
            <w:r>
              <w:rPr>
                <w:rFonts w:ascii="宋体" w:eastAsia="宋体" w:cs="宋体" w:hint="eastAsia"/>
                <w:kern w:val="2"/>
                <w:sz w:val="21"/>
                <w:szCs w:val="21"/>
              </w:rPr>
              <w:t>）要求，及时开展专业运维服务。每套设备现场运行期间出现故障时，工程师按《故障及分类》（详见附件</w:t>
            </w:r>
            <w:r>
              <w:rPr>
                <w:rFonts w:ascii="Times New Roman" w:eastAsia="宋体" w:hAnsi="Times New Roman" w:cs="Times New Roman"/>
                <w:kern w:val="2"/>
                <w:sz w:val="21"/>
                <w:szCs w:val="21"/>
              </w:rPr>
              <w:t>2</w:t>
            </w:r>
            <w:r>
              <w:rPr>
                <w:rFonts w:ascii="宋体" w:eastAsia="宋体" w:cs="宋体" w:hint="eastAsia"/>
                <w:kern w:val="2"/>
                <w:sz w:val="21"/>
                <w:szCs w:val="21"/>
              </w:rPr>
              <w:t>）要求进行修复。</w:t>
            </w:r>
          </w:p>
        </w:tc>
        <w:tc>
          <w:tcPr>
            <w:tcW w:w="1685" w:type="dxa"/>
            <w:noWrap/>
            <w:vAlign w:val="center"/>
          </w:tcPr>
          <w:p>
            <w:pPr>
              <w:autoSpaceDN w:val="0"/>
              <w:spacing w:line="240" w:lineRule="exact"/>
              <w:ind w:firstLine="0"/>
              <w:rPr>
                <w:rFonts w:ascii="Times New Roman" w:eastAsia="宋体" w:hAnsi="Times New Roman" w:cs="Times New Roman"/>
                <w:kern w:val="2"/>
                <w:sz w:val="21"/>
                <w:szCs w:val="21"/>
              </w:rPr>
            </w:pPr>
            <w:r>
              <w:rPr>
                <w:rFonts w:ascii="宋体" w:eastAsia="宋体" w:cs="宋体" w:hint="eastAsia"/>
                <w:kern w:val="2"/>
                <w:sz w:val="21"/>
                <w:szCs w:val="21"/>
              </w:rPr>
              <w:t>提供加盖投标人公章的相关承诺书</w:t>
            </w:r>
          </w:p>
          <w:p>
            <w:pPr>
              <w:autoSpaceDN w:val="0"/>
              <w:spacing w:line="240" w:lineRule="atLeast"/>
              <w:ind w:firstLine="0"/>
              <w:jc w:val="left"/>
              <w:rPr>
                <w:rFonts w:ascii="宋体" w:eastAsia="宋体" w:cs="宋体"/>
                <w:kern w:val="2"/>
                <w:sz w:val="21"/>
                <w:szCs w:val="21"/>
              </w:rPr>
            </w:pP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r>
              <w:rPr>
                <w:rFonts w:ascii="宋体" w:eastAsia="宋体" w:cs="宋体" w:hint="eastAsia"/>
                <w:kern w:val="2"/>
                <w:sz w:val="21"/>
                <w:szCs w:val="21"/>
              </w:rPr>
              <w:t>★</w:t>
            </w: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hint="eastAsia"/>
                <w:kern w:val="2"/>
                <w:sz w:val="21"/>
                <w:szCs w:val="21"/>
              </w:rPr>
              <w:t>3、★对于运行时间已满</w:t>
            </w:r>
            <w:r>
              <w:rPr>
                <w:rFonts w:ascii="Times New Roman" w:eastAsia="宋体" w:hAnsi="Times New Roman" w:cs="Times New Roman"/>
                <w:kern w:val="2"/>
                <w:sz w:val="21"/>
                <w:szCs w:val="21"/>
              </w:rPr>
              <w:t>1</w:t>
            </w:r>
            <w:r>
              <w:rPr>
                <w:rFonts w:ascii="宋体" w:eastAsia="宋体" w:cs="Times New Roman" w:hint="eastAsia"/>
                <w:kern w:val="2"/>
                <w:sz w:val="21"/>
                <w:szCs w:val="21"/>
              </w:rPr>
              <w:t>0</w:t>
            </w:r>
            <w:r>
              <w:rPr>
                <w:rFonts w:ascii="宋体" w:eastAsia="宋体" w:cs="宋体" w:hint="eastAsia"/>
                <w:kern w:val="2"/>
                <w:sz w:val="21"/>
                <w:szCs w:val="21"/>
              </w:rPr>
              <w:t>年的设备，半年保养项目免费升级为年度保养项目（含半年保养必要服务项目）。</w:t>
            </w:r>
          </w:p>
        </w:tc>
        <w:tc>
          <w:tcPr>
            <w:tcW w:w="1685" w:type="dxa"/>
            <w:noWrap/>
            <w:vAlign w:val="center"/>
          </w:tcPr>
          <w:p>
            <w:pPr>
              <w:autoSpaceDN w:val="0"/>
              <w:spacing w:line="240" w:lineRule="exact"/>
              <w:ind w:firstLine="0"/>
              <w:rPr>
                <w:rFonts w:ascii="Times New Roman" w:eastAsia="宋体" w:hAnsi="Times New Roman" w:cs="Times New Roman"/>
                <w:kern w:val="2"/>
                <w:sz w:val="21"/>
                <w:szCs w:val="21"/>
              </w:rPr>
            </w:pPr>
            <w:r>
              <w:rPr>
                <w:rFonts w:ascii="宋体" w:eastAsia="宋体" w:cs="宋体" w:hint="eastAsia"/>
                <w:kern w:val="2"/>
                <w:sz w:val="21"/>
                <w:szCs w:val="21"/>
              </w:rPr>
              <w:t>提供加盖投标人公章的相关承诺书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b/>
                <w:kern w:val="2"/>
                <w:sz w:val="21"/>
                <w:szCs w:val="21"/>
              </w:rPr>
            </w:pPr>
            <w:r>
              <w:rPr>
                <w:rFonts w:ascii="宋体" w:eastAsia="宋体" w:cs="宋体" w:hint="eastAsia"/>
                <w:b/>
                <w:kern w:val="2"/>
                <w:sz w:val="21"/>
                <w:szCs w:val="21"/>
              </w:rPr>
              <w:t>备件保障服务要求</w:t>
            </w:r>
          </w:p>
          <w:p>
            <w:pPr>
              <w:spacing w:line="240" w:lineRule="exact"/>
              <w:ind w:firstLine="0"/>
              <w:rPr>
                <w:rFonts w:ascii="宋体" w:eastAsia="宋体" w:cs="宋体"/>
                <w:kern w:val="2"/>
                <w:sz w:val="21"/>
                <w:szCs w:val="21"/>
              </w:rPr>
            </w:pPr>
            <w:r>
              <w:rPr>
                <w:rFonts w:ascii="宋体" w:eastAsia="宋体" w:cs="宋体" w:hint="eastAsia"/>
                <w:kern w:val="2"/>
                <w:sz w:val="21"/>
                <w:szCs w:val="21"/>
              </w:rPr>
              <w:t>1、总体要求</w:t>
            </w:r>
          </w:p>
          <w:p>
            <w:pPr>
              <w:spacing w:line="240" w:lineRule="exact"/>
              <w:ind w:firstLine="0"/>
              <w:rPr>
                <w:rFonts w:ascii="宋体" w:eastAsia="宋体" w:cs="宋体"/>
                <w:kern w:val="2"/>
                <w:sz w:val="21"/>
                <w:szCs w:val="21"/>
              </w:rPr>
            </w:pPr>
            <w:r>
              <w:rPr>
                <w:rFonts w:ascii="宋体" w:eastAsia="宋体" w:cs="宋体" w:hint="eastAsia"/>
                <w:kern w:val="2"/>
                <w:sz w:val="21"/>
                <w:szCs w:val="21"/>
              </w:rPr>
              <w:t>投标人提供每套设备维修、维护、保养所需的备件，以便设备相关零部件损坏后能第一时间予以更换。</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hint="eastAsia"/>
                <w:kern w:val="2"/>
                <w:sz w:val="21"/>
                <w:szCs w:val="21"/>
              </w:rPr>
              <w:t>2、备件的更新及测试</w:t>
            </w:r>
          </w:p>
          <w:p>
            <w:pPr>
              <w:spacing w:line="240" w:lineRule="exact"/>
              <w:ind w:firstLine="0"/>
              <w:rPr>
                <w:rFonts w:ascii="宋体" w:eastAsia="宋体" w:cs="宋体"/>
                <w:kern w:val="2"/>
                <w:sz w:val="21"/>
                <w:szCs w:val="21"/>
              </w:rPr>
            </w:pPr>
            <w:r>
              <w:rPr>
                <w:rFonts w:ascii="宋体" w:eastAsia="宋体" w:cs="宋体" w:hint="eastAsia"/>
                <w:kern w:val="2"/>
                <w:sz w:val="21"/>
                <w:szCs w:val="21"/>
              </w:rPr>
              <w:t>投标人需定期更新备件，特殊备件做到定期上机测试，保障备件随时可用。</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r>
              <w:rPr>
                <w:rFonts w:ascii="宋体" w:eastAsia="宋体" w:cs="宋体" w:hint="eastAsia"/>
                <w:kern w:val="2"/>
                <w:sz w:val="21"/>
                <w:szCs w:val="21"/>
              </w:rPr>
              <w:t>★</w:t>
            </w: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hint="eastAsia"/>
                <w:kern w:val="2"/>
                <w:sz w:val="21"/>
                <w:szCs w:val="21"/>
              </w:rPr>
              <w:t>3、★核心备件要求</w:t>
            </w:r>
          </w:p>
          <w:p>
            <w:pPr>
              <w:spacing w:line="240" w:lineRule="exact"/>
              <w:ind w:firstLine="0"/>
              <w:rPr>
                <w:rFonts w:ascii="宋体" w:eastAsia="宋体" w:cs="宋体"/>
                <w:kern w:val="2"/>
                <w:sz w:val="21"/>
                <w:szCs w:val="21"/>
              </w:rPr>
            </w:pPr>
            <w:r>
              <w:rPr>
                <w:rFonts w:ascii="宋体" w:eastAsia="宋体" w:cs="宋体" w:hint="eastAsia"/>
                <w:kern w:val="2"/>
                <w:sz w:val="21"/>
                <w:szCs w:val="21"/>
              </w:rPr>
              <w:t>投标人应保障设备所需加速管和探测器的部件及时供应。</w:t>
            </w:r>
          </w:p>
        </w:tc>
        <w:tc>
          <w:tcPr>
            <w:tcW w:w="1685" w:type="dxa"/>
            <w:noWrap/>
            <w:vAlign w:val="center"/>
          </w:tcPr>
          <w:p>
            <w:pPr>
              <w:autoSpaceDN w:val="0"/>
              <w:spacing w:line="240" w:lineRule="exact"/>
              <w:ind w:firstLine="0"/>
              <w:rPr>
                <w:rFonts w:ascii="Times New Roman" w:eastAsia="宋体" w:hAnsi="Times New Roman" w:cs="Times New Roman"/>
                <w:kern w:val="2"/>
                <w:sz w:val="21"/>
                <w:szCs w:val="21"/>
              </w:rPr>
            </w:pPr>
            <w:r>
              <w:rPr>
                <w:rFonts w:ascii="宋体" w:eastAsia="宋体" w:cs="宋体" w:hint="eastAsia"/>
                <w:kern w:val="2"/>
                <w:sz w:val="21"/>
                <w:szCs w:val="21"/>
              </w:rPr>
              <w:t>提供加盖投标人公章的相关承诺书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hint="eastAsia"/>
                <w:b/>
                <w:kern w:val="2"/>
                <w:sz w:val="21"/>
                <w:szCs w:val="21"/>
              </w:rPr>
              <w:t>合法合规要求</w:t>
            </w:r>
          </w:p>
          <w:p>
            <w:pPr>
              <w:spacing w:line="240" w:lineRule="exact"/>
              <w:ind w:firstLine="0"/>
              <w:rPr>
                <w:rFonts w:ascii="宋体" w:eastAsia="宋体" w:cs="宋体"/>
                <w:kern w:val="2"/>
                <w:sz w:val="21"/>
                <w:szCs w:val="21"/>
              </w:rPr>
            </w:pPr>
            <w:r>
              <w:rPr>
                <w:rFonts w:ascii="宋体" w:eastAsia="宋体" w:cs="宋体" w:hint="eastAsia"/>
                <w:kern w:val="2"/>
                <w:sz w:val="21"/>
                <w:szCs w:val="21"/>
              </w:rPr>
              <w:t>投标人提供的技术和服务应当符合国内法律法规的要求。投标人在服务过程中产生的技术成果和知识产权归海关所有。</w:t>
            </w:r>
          </w:p>
        </w:tc>
        <w:tc>
          <w:tcPr>
            <w:tcW w:w="1685" w:type="dxa"/>
            <w:noWrap/>
            <w:vAlign w:val="center"/>
          </w:tcPr>
          <w:p>
            <w:pPr>
              <w:autoSpaceDN w:val="0"/>
              <w:spacing w:line="240" w:lineRule="atLeast"/>
              <w:ind w:firstLine="0"/>
              <w:jc w:val="center"/>
              <w:rPr>
                <w:rFonts w:ascii="Times New Roman" w:eastAsia="宋体" w:hAnsi="Times New Roman" w:cs="Times New Roman"/>
                <w:kern w:val="2"/>
                <w:sz w:val="21"/>
              </w:rPr>
            </w:pPr>
            <w:r>
              <w:rPr>
                <w:rFonts w:ascii="宋体" w:eastAsia="宋体" w:cs="宋体" w:hint="eastAsia"/>
                <w:kern w:val="2"/>
                <w:sz w:val="21"/>
                <w:szCs w:val="21"/>
              </w:rPr>
              <w:t>否</w:t>
            </w:r>
          </w:p>
          <w:p>
            <w:pPr>
              <w:autoSpaceDN w:val="0"/>
              <w:spacing w:line="240" w:lineRule="atLeast"/>
              <w:ind w:firstLine="0"/>
              <w:jc w:val="left"/>
              <w:rPr>
                <w:rFonts w:ascii="宋体" w:eastAsia="宋体" w:cs="宋体"/>
                <w:kern w:val="2"/>
                <w:sz w:val="21"/>
                <w:szCs w:val="21"/>
              </w:rPr>
            </w:pP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b/>
                <w:kern w:val="2"/>
                <w:sz w:val="21"/>
                <w:szCs w:val="21"/>
              </w:rPr>
            </w:pPr>
            <w:r>
              <w:rPr>
                <w:rFonts w:ascii="宋体" w:eastAsia="宋体" w:cs="宋体" w:hint="eastAsia"/>
                <w:b/>
                <w:kern w:val="2"/>
                <w:sz w:val="21"/>
                <w:szCs w:val="21"/>
              </w:rPr>
              <w:t>技术资料及文档要求</w:t>
            </w:r>
          </w:p>
          <w:p>
            <w:pPr>
              <w:spacing w:line="240" w:lineRule="exact"/>
              <w:ind w:firstLine="0"/>
              <w:rPr>
                <w:rFonts w:ascii="宋体" w:eastAsia="宋体" w:cs="宋体"/>
                <w:kern w:val="2"/>
                <w:sz w:val="21"/>
                <w:szCs w:val="21"/>
              </w:rPr>
            </w:pPr>
            <w:r>
              <w:rPr>
                <w:rFonts w:ascii="宋体" w:eastAsia="宋体" w:cs="宋体" w:hint="eastAsia"/>
                <w:kern w:val="2"/>
                <w:sz w:val="21"/>
                <w:szCs w:val="21"/>
              </w:rPr>
              <w:t>后续运维过程中，</w:t>
            </w:r>
            <w:r>
              <w:rPr>
                <w:rFonts w:ascii="宋体" w:eastAsia="宋体" w:cs="宋体"/>
                <w:kern w:val="2"/>
                <w:sz w:val="21"/>
                <w:szCs w:val="21"/>
              </w:rPr>
              <w:t>投标人应提供的技术资料及文档包括但不限于：年度运维服务工作总结以及各台设备的《设备年度技术服务报告》（含投标人、海关双方签字盖章内容，其中海关方需加盖单位或部门公章），并将《维修记录》、《设备环境剂量率检测报告》、《设备性能指标检测报告》、《日常巡检报告》、《月度运维报告》、《季度运维报告》、《半年度保养报告》、《年度保养报告》作为《设备年度技术服务报告》附件。投标人要对其所提供的全部技术资料及文档的及时性、准确性和完整性负责。</w:t>
            </w:r>
          </w:p>
        </w:tc>
        <w:tc>
          <w:tcPr>
            <w:tcW w:w="1685" w:type="dxa"/>
            <w:noWrap/>
            <w:vAlign w:val="center"/>
          </w:tcPr>
          <w:p>
            <w:pPr>
              <w:autoSpaceDN w:val="0"/>
              <w:spacing w:line="240" w:lineRule="atLeast"/>
              <w:ind w:firstLine="0"/>
              <w:jc w:val="center"/>
              <w:rPr>
                <w:rFonts w:ascii="宋体" w:eastAsia="宋体" w:cs="宋体"/>
                <w:kern w:val="2"/>
                <w:sz w:val="21"/>
                <w:szCs w:val="21"/>
              </w:rPr>
            </w:pPr>
            <w:r>
              <w:rPr>
                <w:rFonts w:ascii="宋体" w:eastAsia="宋体" w:cs="宋体"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642"/>
          <w:jc w:val="left"/>
        </w:trPr>
        <w:tc>
          <w:tcPr>
            <w:tcW w:w="808" w:type="dxa"/>
            <w:vMerge w:val="restart"/>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2</w:t>
            </w:r>
          </w:p>
        </w:tc>
        <w:tc>
          <w:tcPr>
            <w:tcW w:w="1140" w:type="dxa"/>
            <w:vMerge w:val="restart"/>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硬件、软件制造商服务标准</w:t>
            </w: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宋体" w:hint="eastAsia"/>
                <w:kern w:val="2"/>
                <w:sz w:val="21"/>
                <w:szCs w:val="21"/>
              </w:rPr>
              <w:t>★</w:t>
            </w: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hint="eastAsia"/>
                <w:kern w:val="2"/>
                <w:sz w:val="21"/>
                <w:szCs w:val="21"/>
              </w:rPr>
              <w:t>1、★</w:t>
            </w:r>
            <w:r>
              <w:rPr>
                <w:rFonts w:ascii="宋体" w:eastAsia="宋体" w:cs="宋体"/>
                <w:kern w:val="2"/>
                <w:sz w:val="21"/>
                <w:szCs w:val="21"/>
              </w:rPr>
              <w:t>钴60放射源设备使用期限到达8年的，投标方负责放射源更换以及旧源回收等全过程事项，符合相关国家安全标准要求。用户方负责到设备所在行政辖区的省级生态环境部门办理新源转让申请、新源转入及旧源回收备案。</w:t>
            </w:r>
          </w:p>
        </w:tc>
        <w:tc>
          <w:tcPr>
            <w:tcW w:w="1685" w:type="dxa"/>
            <w:noWrap/>
            <w:vAlign w:val="center"/>
          </w:tcPr>
          <w:p>
            <w:pPr>
              <w:autoSpaceDN w:val="0"/>
              <w:spacing w:line="240" w:lineRule="atLeast"/>
              <w:ind w:firstLine="0"/>
              <w:jc w:val="left"/>
              <w:rPr>
                <w:rFonts w:ascii="Times New Roman" w:eastAsia="宋体" w:hAnsi="Times New Roman" w:cs="Times New Roman"/>
                <w:kern w:val="2"/>
                <w:sz w:val="21"/>
              </w:rPr>
            </w:pPr>
            <w:r>
              <w:rPr>
                <w:rFonts w:ascii="宋体" w:eastAsia="宋体" w:cs="宋体" w:hint="eastAsia"/>
                <w:kern w:val="2"/>
                <w:sz w:val="21"/>
                <w:szCs w:val="21"/>
              </w:rPr>
              <w:t>提供加盖投标人公章的相关承诺书</w:t>
            </w:r>
          </w:p>
          <w:p>
            <w:pPr>
              <w:spacing w:line="240" w:lineRule="exact"/>
              <w:ind w:firstLine="0"/>
              <w:rPr>
                <w:rFonts w:ascii="宋体" w:eastAsia="宋体" w:cs="Times New Roman"/>
                <w:kern w:val="2"/>
                <w:sz w:val="21"/>
              </w:rPr>
            </w:pPr>
          </w:p>
        </w:tc>
      </w:tr>
      <w:tr>
        <w:tblPrEx>
          <w:tblW w:w="8519" w:type="dxa"/>
          <w:jc w:val="left"/>
          <w:tblInd w:w="0" w:type="dxa"/>
          <w:tblLayout w:type="fixed"/>
          <w:tblCellMar>
            <w:top w:w="0" w:type="dxa"/>
            <w:left w:w="108" w:type="dxa"/>
            <w:bottom w:w="0" w:type="dxa"/>
            <w:right w:w="108" w:type="dxa"/>
          </w:tblCellMar>
        </w:tblPrEx>
        <w:trPr>
          <w:trHeight w:val="1020"/>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hint="eastAsia"/>
                <w:kern w:val="2"/>
                <w:sz w:val="21"/>
                <w:szCs w:val="21"/>
              </w:rPr>
              <w:t>2、</w:t>
            </w:r>
            <w:r>
              <w:rPr>
                <w:rFonts w:ascii="宋体" w:eastAsia="宋体" w:cs="宋体"/>
                <w:kern w:val="2"/>
                <w:sz w:val="21"/>
                <w:szCs w:val="21"/>
              </w:rPr>
              <w:t>对因设备备件停产、技术滞后等原因无法满足故障维修或业务需求时，投标人需具备局部替代更换或分系统替代更换的方案和技术。</w:t>
            </w:r>
          </w:p>
        </w:tc>
        <w:tc>
          <w:tcPr>
            <w:tcW w:w="1685" w:type="dxa"/>
            <w:noWrap/>
            <w:vAlign w:val="center"/>
          </w:tcPr>
          <w:p>
            <w:pPr>
              <w:autoSpaceDN w:val="0"/>
              <w:spacing w:line="240" w:lineRule="auto"/>
              <w:ind w:firstLine="0"/>
              <w:jc w:val="center"/>
              <w:rPr>
                <w:rFonts w:ascii="Times New Roman" w:eastAsia="宋体" w:hAnsi="Times New Roman" w:cs="Times New Roman"/>
                <w:kern w:val="2"/>
                <w:sz w:val="21"/>
              </w:rPr>
            </w:pPr>
            <w:r>
              <w:rPr>
                <w:rFonts w:ascii="宋体" w:eastAsia="宋体" w:cs="Times New Roman" w:hint="eastAsia"/>
                <w:kern w:val="2"/>
                <w:sz w:val="21"/>
                <w:szCs w:val="21"/>
              </w:rPr>
              <w:t>否</w:t>
            </w:r>
          </w:p>
          <w:p>
            <w:pPr>
              <w:autoSpaceDN w:val="0"/>
              <w:spacing w:line="240" w:lineRule="exact"/>
              <w:ind w:firstLine="0"/>
              <w:jc w:val="center"/>
              <w:rPr>
                <w:rFonts w:ascii="宋体" w:eastAsia="宋体" w:cs="Times New Roman"/>
                <w:kern w:val="2"/>
                <w:sz w:val="21"/>
                <w:szCs w:val="21"/>
              </w:rPr>
            </w:pPr>
          </w:p>
        </w:tc>
      </w:tr>
      <w:tr>
        <w:tblPrEx>
          <w:tblW w:w="8519" w:type="dxa"/>
          <w:jc w:val="left"/>
          <w:tblInd w:w="0" w:type="dxa"/>
          <w:tblLayout w:type="fixed"/>
          <w:tblCellMar>
            <w:top w:w="0" w:type="dxa"/>
            <w:left w:w="108" w:type="dxa"/>
            <w:bottom w:w="0" w:type="dxa"/>
            <w:right w:w="108" w:type="dxa"/>
          </w:tblCellMar>
        </w:tblPrEx>
        <w:trPr>
          <w:trHeight w:val="441"/>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hint="eastAsia"/>
                <w:kern w:val="2"/>
                <w:sz w:val="21"/>
                <w:szCs w:val="21"/>
              </w:rPr>
              <w:t>3、</w:t>
            </w:r>
            <w:r>
              <w:rPr>
                <w:rFonts w:ascii="宋体" w:eastAsia="宋体" w:cs="宋体"/>
                <w:kern w:val="2"/>
                <w:sz w:val="21"/>
                <w:szCs w:val="21"/>
              </w:rPr>
              <w:t>投标人需做好服务机构人员配置与备件供应保障。</w:t>
            </w:r>
          </w:p>
        </w:tc>
        <w:tc>
          <w:tcPr>
            <w:tcW w:w="1685" w:type="dxa"/>
            <w:noWrap/>
            <w:vAlign w:val="center"/>
          </w:tcPr>
          <w:p>
            <w:pPr>
              <w:autoSpaceDN w:val="0"/>
              <w:spacing w:line="240" w:lineRule="auto"/>
              <w:ind w:firstLine="0"/>
              <w:jc w:val="center"/>
              <w:rPr>
                <w:rFonts w:ascii="Times New Roman" w:eastAsia="宋体" w:hAnsi="Times New Roman" w:cs="Times New Roman"/>
                <w:kern w:val="2"/>
                <w:sz w:val="21"/>
              </w:rPr>
            </w:pPr>
            <w:r>
              <w:rPr>
                <w:rFonts w:ascii="宋体" w:eastAsia="宋体" w:cs="Times New Roman" w:hint="eastAsia"/>
                <w:kern w:val="2"/>
                <w:sz w:val="21"/>
                <w:szCs w:val="21"/>
              </w:rPr>
              <w:t>否</w:t>
            </w:r>
          </w:p>
          <w:p>
            <w:pPr>
              <w:autoSpaceDN w:val="0"/>
              <w:spacing w:line="240" w:lineRule="exact"/>
              <w:ind w:firstLine="0"/>
              <w:jc w:val="center"/>
              <w:rPr>
                <w:rFonts w:ascii="宋体" w:eastAsia="宋体" w:cs="Times New Roman"/>
                <w:kern w:val="2"/>
                <w:sz w:val="21"/>
                <w:szCs w:val="21"/>
              </w:rPr>
            </w:pPr>
          </w:p>
        </w:tc>
      </w:tr>
      <w:tr>
        <w:tblPrEx>
          <w:tblW w:w="8519" w:type="dxa"/>
          <w:jc w:val="left"/>
          <w:tblInd w:w="0" w:type="dxa"/>
          <w:tblLayout w:type="fixed"/>
          <w:tblCellMar>
            <w:top w:w="0" w:type="dxa"/>
            <w:left w:w="108" w:type="dxa"/>
            <w:bottom w:w="0" w:type="dxa"/>
            <w:right w:w="108" w:type="dxa"/>
          </w:tblCellMar>
        </w:tblPrEx>
        <w:trPr>
          <w:trHeight w:val="680"/>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exact"/>
              <w:ind w:firstLine="0"/>
              <w:rPr>
                <w:rFonts w:ascii="宋体" w:eastAsia="宋体" w:cs="宋体"/>
                <w:kern w:val="2"/>
                <w:sz w:val="21"/>
                <w:szCs w:val="21"/>
              </w:rPr>
            </w:pPr>
            <w:r>
              <w:rPr>
                <w:rFonts w:ascii="宋体" w:eastAsia="宋体" w:cs="宋体" w:hint="eastAsia"/>
                <w:kern w:val="2"/>
                <w:sz w:val="21"/>
                <w:szCs w:val="21"/>
              </w:rPr>
              <w:t>4、</w:t>
            </w:r>
            <w:r>
              <w:rPr>
                <w:rFonts w:ascii="宋体" w:eastAsia="宋体" w:cs="宋体"/>
                <w:kern w:val="2"/>
                <w:sz w:val="21"/>
                <w:szCs w:val="21"/>
              </w:rPr>
              <w:t>投标人需结合设备预检结果，按计划对易损件进行更换，易损件清单详见附件8《常规备件及易损件清单》。</w:t>
            </w:r>
          </w:p>
        </w:tc>
        <w:tc>
          <w:tcPr>
            <w:tcW w:w="1685" w:type="dxa"/>
            <w:noWrap/>
            <w:vAlign w:val="center"/>
          </w:tcPr>
          <w:p>
            <w:pPr>
              <w:autoSpaceDN w:val="0"/>
              <w:spacing w:line="240" w:lineRule="auto"/>
              <w:ind w:firstLine="0"/>
              <w:jc w:val="center"/>
              <w:rPr>
                <w:rFonts w:ascii="Times New Roman" w:eastAsia="宋体" w:hAnsi="Times New Roman" w:cs="Times New Roman"/>
                <w:kern w:val="2"/>
                <w:sz w:val="21"/>
              </w:rPr>
            </w:pPr>
            <w:r>
              <w:rPr>
                <w:rFonts w:ascii="宋体" w:eastAsia="宋体" w:cs="Times New Roman"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1910"/>
          <w:jc w:val="left"/>
        </w:trPr>
        <w:tc>
          <w:tcPr>
            <w:tcW w:w="808" w:type="dxa"/>
            <w:vMerge w:val="restart"/>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3</w:t>
            </w:r>
          </w:p>
        </w:tc>
        <w:tc>
          <w:tcPr>
            <w:tcW w:w="1140" w:type="dxa"/>
            <w:vMerge w:val="restart"/>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人员资格标准</w:t>
            </w: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atLeast"/>
              <w:ind w:firstLine="0"/>
              <w:rPr>
                <w:rFonts w:ascii="Times New Roman" w:eastAsia="宋体" w:hAnsi="Times New Roman" w:cs="Times New Roman"/>
                <w:kern w:val="2"/>
                <w:sz w:val="21"/>
              </w:rPr>
            </w:pPr>
            <w:r>
              <w:rPr>
                <w:rFonts w:ascii="宋体" w:eastAsia="宋体" w:cs="Times New Roman" w:hint="eastAsia"/>
                <w:kern w:val="2"/>
                <w:sz w:val="21"/>
                <w:szCs w:val="21"/>
              </w:rPr>
              <w:t>1、</w:t>
            </w:r>
            <w:r>
              <w:rPr>
                <w:rFonts w:ascii="宋体" w:eastAsia="宋体" w:cs="Times New Roman"/>
                <w:kern w:val="2"/>
                <w:sz w:val="21"/>
                <w:szCs w:val="21"/>
              </w:rPr>
              <w:t>投标人要有掌握射线源分系统、探测器分系统、运行检查分系统等核心设备的技术支持团队及能力，技术团队要具备机电、信息等专业领域高级职称的工程师，当设备出现疑难故障，技术支持团队能够提供专业的维修指导或现场维修。</w:t>
            </w:r>
          </w:p>
        </w:tc>
        <w:tc>
          <w:tcPr>
            <w:tcW w:w="1685" w:type="dxa"/>
            <w:noWrap/>
            <w:vAlign w:val="center"/>
          </w:tcPr>
          <w:p>
            <w:pPr>
              <w:autoSpaceDN w:val="0"/>
              <w:spacing w:line="240" w:lineRule="exact"/>
              <w:ind w:firstLine="0"/>
              <w:rPr>
                <w:rFonts w:ascii="宋体" w:eastAsia="宋体" w:cs="Times New Roman"/>
                <w:kern w:val="2"/>
                <w:sz w:val="21"/>
              </w:rPr>
            </w:pPr>
            <w:r>
              <w:rPr>
                <w:rFonts w:ascii="宋体" w:eastAsia="宋体" w:cs="Times New Roman"/>
                <w:kern w:val="2"/>
                <w:sz w:val="21"/>
                <w:szCs w:val="21"/>
              </w:rPr>
              <w:t>提供加盖投标人公章的</w:t>
            </w:r>
            <w:r>
              <w:rPr>
                <w:rFonts w:ascii="宋体" w:eastAsia="宋体" w:cs="Times New Roman" w:hint="eastAsia"/>
                <w:kern w:val="2"/>
                <w:sz w:val="21"/>
                <w:szCs w:val="21"/>
              </w:rPr>
              <w:t>高级职称工程师证书</w:t>
            </w:r>
            <w:r>
              <w:rPr>
                <w:rFonts w:ascii="宋体" w:eastAsia="宋体" w:cs="Times New Roman"/>
                <w:kern w:val="2"/>
                <w:sz w:val="21"/>
                <w:szCs w:val="21"/>
              </w:rPr>
              <w:t>复印件</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atLeast"/>
              <w:ind w:firstLine="0"/>
              <w:rPr>
                <w:rFonts w:ascii="宋体" w:eastAsia="宋体" w:cs="Times New Roman"/>
                <w:kern w:val="2"/>
                <w:sz w:val="21"/>
                <w:szCs w:val="21"/>
              </w:rPr>
            </w:pPr>
            <w:r>
              <w:rPr>
                <w:rFonts w:ascii="宋体" w:eastAsia="宋体" w:cs="Times New Roman" w:hint="eastAsia"/>
                <w:kern w:val="2"/>
                <w:sz w:val="21"/>
                <w:szCs w:val="21"/>
              </w:rPr>
              <w:t>2、</w:t>
            </w:r>
            <w:r>
              <w:rPr>
                <w:rFonts w:ascii="宋体" w:eastAsia="宋体" w:cs="Times New Roman"/>
                <w:kern w:val="2"/>
                <w:sz w:val="21"/>
                <w:szCs w:val="21"/>
              </w:rPr>
              <w:t>投标人要有具备相关资质的专职维护工程师团队，能提供统一、标准、同质的运维服务。投标人要加强对服务团队人员的技术培训，以适应海关监管工作保障需要。</w:t>
            </w:r>
          </w:p>
        </w:tc>
        <w:tc>
          <w:tcPr>
            <w:tcW w:w="1685" w:type="dxa"/>
            <w:noWrap/>
            <w:vAlign w:val="center"/>
          </w:tcPr>
          <w:p>
            <w:pPr>
              <w:autoSpaceDN w:val="0"/>
              <w:spacing w:line="240" w:lineRule="auto"/>
              <w:ind w:firstLine="0"/>
              <w:jc w:val="center"/>
              <w:rPr>
                <w:rFonts w:ascii="Times New Roman" w:eastAsia="宋体" w:hAnsi="Times New Roman" w:cs="Times New Roman"/>
                <w:kern w:val="2"/>
                <w:sz w:val="21"/>
              </w:rPr>
            </w:pPr>
            <w:r>
              <w:rPr>
                <w:rFonts w:ascii="宋体" w:eastAsia="宋体" w:cs="Times New Roman" w:hint="eastAsia"/>
                <w:kern w:val="2"/>
                <w:sz w:val="21"/>
                <w:szCs w:val="21"/>
              </w:rPr>
              <w:t>否</w:t>
            </w:r>
          </w:p>
          <w:p>
            <w:pPr>
              <w:spacing w:line="240" w:lineRule="auto"/>
              <w:ind w:firstLine="0"/>
              <w:jc w:val="center"/>
              <w:rPr>
                <w:rFonts w:ascii="宋体" w:eastAsia="宋体" w:cs="Times New Roman"/>
                <w:kern w:val="2"/>
                <w:sz w:val="21"/>
                <w:szCs w:val="21"/>
              </w:rPr>
            </w:pPr>
          </w:p>
        </w:tc>
      </w:tr>
      <w:tr>
        <w:tblPrEx>
          <w:tblW w:w="8519" w:type="dxa"/>
          <w:jc w:val="left"/>
          <w:tblInd w:w="0" w:type="dxa"/>
          <w:tblLayout w:type="fixed"/>
          <w:tblCellMar>
            <w:top w:w="0" w:type="dxa"/>
            <w:left w:w="108" w:type="dxa"/>
            <w:bottom w:w="0" w:type="dxa"/>
            <w:right w:w="108" w:type="dxa"/>
          </w:tblCellMar>
        </w:tblPrEx>
        <w:trPr>
          <w:trHeight w:val="416"/>
          <w:jc w:val="left"/>
        </w:trPr>
        <w:tc>
          <w:tcPr>
            <w:tcW w:w="808" w:type="dxa"/>
            <w:vMerge/>
            <w:tcBorders>
              <w:top w:val="single" w:sz="4" w:space="0" w:color="auto"/>
              <w:left w:val="single" w:sz="4" w:space="0" w:color="auto"/>
              <w:bottom w:val="single" w:sz="4" w:space="0" w:color="auto"/>
              <w:right w:val="single" w:sz="4" w:space="0" w:color="auto"/>
            </w:tcBorders>
            <w:noWrap/>
            <w:vAlign w:val="center"/>
          </w:tcPr>
          <w:p/>
        </w:tc>
        <w:tc>
          <w:tcPr>
            <w:tcW w:w="1140" w:type="dxa"/>
            <w:vMerge/>
            <w:tcBorders>
              <w:top w:val="single" w:sz="4" w:space="0" w:color="auto"/>
              <w:left w:val="single" w:sz="4" w:space="0" w:color="auto"/>
              <w:bottom w:val="single" w:sz="4" w:space="0" w:color="auto"/>
              <w:right w:val="single" w:sz="4" w:space="0" w:color="auto"/>
            </w:tcBorders>
            <w:noWrap/>
            <w:vAlign w:val="center"/>
          </w:tcPr>
          <w:p/>
        </w:tc>
        <w:tc>
          <w:tcPr>
            <w:tcW w:w="1196" w:type="dxa"/>
            <w:tcBorders>
              <w:top w:val="single" w:sz="4" w:space="0" w:color="auto"/>
              <w:left w:val="single" w:sz="4" w:space="0" w:color="auto"/>
              <w:bottom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p>
        </w:tc>
        <w:tc>
          <w:tcPr>
            <w:tcW w:w="3690" w:type="dxa"/>
            <w:tcBorders>
              <w:top w:val="single" w:sz="4" w:space="0" w:color="auto"/>
              <w:left w:val="single" w:sz="4" w:space="0" w:color="auto"/>
              <w:bottom w:val="single" w:sz="4" w:space="0" w:color="auto"/>
              <w:right w:val="single" w:sz="4" w:space="0" w:color="auto"/>
            </w:tcBorders>
            <w:noWrap/>
          </w:tcPr>
          <w:p>
            <w:pPr>
              <w:spacing w:line="240" w:lineRule="atLeast"/>
              <w:ind w:firstLine="0"/>
              <w:rPr>
                <w:rFonts w:ascii="宋体" w:eastAsia="宋体" w:cs="Times New Roman"/>
                <w:kern w:val="2"/>
                <w:sz w:val="21"/>
                <w:szCs w:val="21"/>
              </w:rPr>
            </w:pPr>
            <w:r>
              <w:rPr>
                <w:rFonts w:ascii="宋体" w:eastAsia="宋体" w:cs="Times New Roman" w:hint="eastAsia"/>
                <w:kern w:val="2"/>
                <w:sz w:val="21"/>
                <w:szCs w:val="21"/>
              </w:rPr>
              <w:t>3、</w:t>
            </w:r>
            <w:r>
              <w:rPr>
                <w:rFonts w:ascii="宋体" w:eastAsia="宋体" w:cs="Times New Roman"/>
                <w:kern w:val="2"/>
                <w:sz w:val="21"/>
                <w:szCs w:val="21"/>
              </w:rPr>
              <w:t>投标人需有相关专家支持团队，能够处理设备软硬件故障、网络系统软硬件故障，可为海关监管新需求提供定制化的研发、整改的建议和方案。</w:t>
            </w:r>
          </w:p>
        </w:tc>
        <w:tc>
          <w:tcPr>
            <w:tcW w:w="1685" w:type="dxa"/>
            <w:tcBorders>
              <w:top w:val="single" w:sz="4" w:space="0" w:color="auto"/>
              <w:left w:val="single" w:sz="4" w:space="0" w:color="auto"/>
              <w:bottom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r>
              <w:rPr>
                <w:rFonts w:ascii="宋体" w:eastAsia="宋体" w:cs="Times New Roman" w:hint="eastAsia"/>
                <w:kern w:val="2"/>
                <w:sz w:val="21"/>
                <w:szCs w:val="21"/>
              </w:rPr>
              <w:t>否</w:t>
            </w:r>
          </w:p>
          <w:p>
            <w:pPr>
              <w:spacing w:line="240" w:lineRule="auto"/>
              <w:ind w:firstLine="0"/>
              <w:jc w:val="center"/>
              <w:rPr>
                <w:rFonts w:ascii="宋体" w:eastAsia="宋体" w:cs="Times New Roman"/>
                <w:kern w:val="2"/>
                <w:sz w:val="21"/>
                <w:szCs w:val="21"/>
              </w:rPr>
            </w:pPr>
          </w:p>
        </w:tc>
      </w:tr>
      <w:tr>
        <w:tblPrEx>
          <w:tblW w:w="8519" w:type="dxa"/>
          <w:jc w:val="left"/>
          <w:tblInd w:w="0" w:type="dxa"/>
          <w:tblLayout w:type="fixed"/>
          <w:tblCellMar>
            <w:top w:w="0" w:type="dxa"/>
            <w:left w:w="108" w:type="dxa"/>
            <w:bottom w:w="0" w:type="dxa"/>
            <w:right w:w="108" w:type="dxa"/>
          </w:tblCellMar>
        </w:tblPrEx>
        <w:trPr>
          <w:trHeight w:val="274"/>
          <w:jc w:val="left"/>
        </w:trPr>
        <w:tc>
          <w:tcPr>
            <w:tcW w:w="808" w:type="dxa"/>
            <w:vMerge w:val="restart"/>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4</w:t>
            </w:r>
          </w:p>
        </w:tc>
        <w:tc>
          <w:tcPr>
            <w:tcW w:w="1140" w:type="dxa"/>
            <w:vMerge w:val="restart"/>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服务网络标准</w:t>
            </w: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tc>
        <w:tc>
          <w:tcPr>
            <w:tcW w:w="3690" w:type="dxa"/>
            <w:tcBorders>
              <w:top w:val="single" w:sz="4" w:space="0" w:color="auto"/>
              <w:left w:val="single" w:sz="4" w:space="0" w:color="auto"/>
              <w:right w:val="single" w:sz="4" w:space="0" w:color="auto"/>
            </w:tcBorders>
            <w:noWrap/>
          </w:tcPr>
          <w:p>
            <w:pPr>
              <w:spacing w:line="240" w:lineRule="atLeast"/>
              <w:ind w:firstLine="0"/>
              <w:rPr>
                <w:rFonts w:ascii="宋体" w:eastAsia="宋体" w:cs="Times New Roman"/>
                <w:kern w:val="2"/>
                <w:sz w:val="21"/>
                <w:szCs w:val="21"/>
              </w:rPr>
            </w:pPr>
            <w:r>
              <w:rPr>
                <w:rFonts w:ascii="宋体" w:eastAsia="宋体" w:cs="Times New Roman"/>
                <w:kern w:val="2"/>
                <w:sz w:val="21"/>
                <w:szCs w:val="21"/>
              </w:rPr>
              <w:t>1</w:t>
            </w:r>
            <w:r>
              <w:rPr>
                <w:rFonts w:ascii="宋体" w:eastAsia="宋体" w:cs="Times New Roman" w:hint="eastAsia"/>
                <w:kern w:val="2"/>
                <w:sz w:val="21"/>
                <w:szCs w:val="21"/>
              </w:rPr>
              <w:t>、总体要求</w:t>
            </w:r>
          </w:p>
          <w:p>
            <w:pPr>
              <w:spacing w:line="240" w:lineRule="atLeast"/>
              <w:ind w:firstLine="0"/>
              <w:rPr>
                <w:rFonts w:ascii="宋体" w:eastAsia="宋体" w:cs="Times New Roman"/>
                <w:kern w:val="2"/>
                <w:sz w:val="21"/>
                <w:szCs w:val="21"/>
              </w:rPr>
            </w:pPr>
            <w:r>
              <w:rPr>
                <w:rFonts w:ascii="宋体" w:eastAsia="宋体" w:cs="Times New Roman" w:hint="eastAsia"/>
                <w:kern w:val="2"/>
                <w:sz w:val="21"/>
                <w:szCs w:val="21"/>
              </w:rPr>
              <w:t>投标人需具备完善的售后服务体系，能为客户提供专业的运维服务，并保证服务质量。投标人需提供详细售后服务体系方案。服务体系应包括覆盖全国的运维服务网络结构、具备较强运维服务能力的团队及专业规范的运维服务信息管理系统等。</w:t>
            </w:r>
          </w:p>
        </w:tc>
        <w:tc>
          <w:tcPr>
            <w:tcW w:w="1685" w:type="dxa"/>
            <w:noWrap/>
            <w:vAlign w:val="center"/>
          </w:tcPr>
          <w:p>
            <w:pPr>
              <w:autoSpaceDN w:val="0"/>
              <w:spacing w:line="240" w:lineRule="exact"/>
              <w:ind w:firstLine="0"/>
              <w:jc w:val="left"/>
              <w:rPr>
                <w:rFonts w:ascii="Times New Roman" w:eastAsia="宋体" w:hAnsi="Times New Roman" w:cs="Times New Roman"/>
                <w:kern w:val="2"/>
                <w:sz w:val="21"/>
              </w:rPr>
            </w:pPr>
            <w:r>
              <w:rPr>
                <w:rFonts w:ascii="宋体" w:eastAsia="宋体" w:cs="Times New Roman" w:hint="eastAsia"/>
                <w:kern w:val="2"/>
                <w:sz w:val="21"/>
                <w:szCs w:val="21"/>
              </w:rPr>
              <w:t>提供加盖投标人公章的详细售后服务体系方案</w:t>
            </w:r>
          </w:p>
          <w:p>
            <w:pPr>
              <w:spacing w:line="240" w:lineRule="auto"/>
              <w:ind w:firstLine="0"/>
              <w:jc w:val="left"/>
              <w:rPr>
                <w:rFonts w:ascii="宋体" w:eastAsia="宋体" w:cs="Times New Roman"/>
                <w:kern w:val="2"/>
                <w:sz w:val="21"/>
                <w:szCs w:val="21"/>
              </w:rPr>
            </w:pP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tc>
        <w:tc>
          <w:tcPr>
            <w:tcW w:w="3690" w:type="dxa"/>
            <w:tcBorders>
              <w:top w:val="single" w:sz="4" w:space="0" w:color="auto"/>
              <w:left w:val="single" w:sz="4" w:space="0" w:color="auto"/>
              <w:right w:val="single" w:sz="4" w:space="0" w:color="auto"/>
            </w:tcBorders>
            <w:noWrap/>
            <w:vAlign w:val="center"/>
          </w:tcPr>
          <w:p>
            <w:pPr>
              <w:spacing w:line="240" w:lineRule="exact"/>
              <w:ind w:firstLine="0"/>
              <w:rPr>
                <w:rFonts w:ascii="宋体" w:eastAsia="宋体" w:cs="Times New Roman"/>
                <w:kern w:val="2"/>
                <w:sz w:val="21"/>
                <w:szCs w:val="21"/>
              </w:rPr>
            </w:pPr>
            <w:r>
              <w:rPr>
                <w:rFonts w:ascii="宋体" w:eastAsia="宋体" w:cs="Times New Roman"/>
                <w:kern w:val="2"/>
                <w:sz w:val="21"/>
                <w:szCs w:val="21"/>
              </w:rPr>
              <w:t>2</w:t>
            </w:r>
            <w:r>
              <w:rPr>
                <w:rFonts w:ascii="宋体" w:eastAsia="宋体" w:cs="Times New Roman" w:hint="eastAsia"/>
                <w:kern w:val="2"/>
                <w:sz w:val="21"/>
                <w:szCs w:val="21"/>
              </w:rPr>
              <w:t>、服务网络</w:t>
            </w:r>
          </w:p>
          <w:p>
            <w:pPr>
              <w:spacing w:line="240" w:lineRule="exact"/>
              <w:ind w:firstLine="0"/>
              <w:rPr>
                <w:rFonts w:ascii="宋体" w:eastAsia="宋体" w:cs="Times New Roman"/>
                <w:kern w:val="2"/>
                <w:sz w:val="21"/>
                <w:szCs w:val="21"/>
              </w:rPr>
            </w:pPr>
            <w:r>
              <w:rPr>
                <w:rFonts w:ascii="宋体" w:eastAsia="宋体" w:cs="Times New Roman" w:hint="eastAsia"/>
                <w:kern w:val="2"/>
                <w:sz w:val="21"/>
                <w:szCs w:val="21"/>
              </w:rPr>
              <w:t>投标人需具备覆盖本项目各个设备现场的售后服务网络，结合海关业务现场情况提供售后服务保障，及时响应服务。</w:t>
            </w:r>
          </w:p>
        </w:tc>
        <w:tc>
          <w:tcPr>
            <w:tcW w:w="1685" w:type="dxa"/>
            <w:noWrap/>
            <w:vAlign w:val="bottom"/>
          </w:tcPr>
          <w:p>
            <w:pPr>
              <w:autoSpaceDN w:val="0"/>
              <w:spacing w:line="240" w:lineRule="auto"/>
              <w:ind w:firstLine="0"/>
              <w:jc w:val="center"/>
              <w:rPr>
                <w:rFonts w:ascii="Times New Roman" w:eastAsia="宋体" w:hAnsi="Times New Roman" w:cs="Times New Roman"/>
                <w:kern w:val="2"/>
                <w:sz w:val="21"/>
              </w:rPr>
            </w:pPr>
            <w:r>
              <w:rPr>
                <w:rFonts w:ascii="宋体" w:eastAsia="宋体" w:cs="Times New Roman" w:hint="eastAsia"/>
                <w:kern w:val="2"/>
                <w:sz w:val="21"/>
                <w:szCs w:val="21"/>
              </w:rPr>
              <w:t>否</w:t>
            </w:r>
          </w:p>
          <w:p>
            <w:pPr>
              <w:spacing w:line="240" w:lineRule="auto"/>
              <w:ind w:firstLine="0"/>
              <w:jc w:val="center"/>
              <w:rPr>
                <w:rFonts w:ascii="宋体" w:eastAsia="宋体" w:cs="Times New Roman"/>
                <w:kern w:val="2"/>
                <w:sz w:val="21"/>
                <w:szCs w:val="21"/>
              </w:rPr>
            </w:pP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noWrap/>
            <w:vAlign w:val="center"/>
          </w:tcPr>
          <w:p/>
        </w:tc>
        <w:tc>
          <w:tcPr>
            <w:tcW w:w="1140" w:type="dxa"/>
            <w:vMerge/>
            <w:tcBorders>
              <w:top w:val="single" w:sz="4" w:space="0" w:color="auto"/>
              <w:left w:val="single" w:sz="4" w:space="0" w:color="auto"/>
              <w:right w:val="single" w:sz="4" w:space="0" w:color="auto"/>
            </w:tcBorders>
            <w:noWrap/>
            <w:vAlign w:val="center"/>
          </w:tcP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tc>
        <w:tc>
          <w:tcPr>
            <w:tcW w:w="3690" w:type="dxa"/>
            <w:tcBorders>
              <w:top w:val="single" w:sz="4" w:space="0" w:color="auto"/>
              <w:left w:val="single" w:sz="4" w:space="0" w:color="auto"/>
              <w:right w:val="single" w:sz="4" w:space="0" w:color="auto"/>
            </w:tcBorders>
            <w:noWrap/>
            <w:vAlign w:val="center"/>
          </w:tcPr>
          <w:p>
            <w:pPr>
              <w:spacing w:line="240" w:lineRule="exact"/>
              <w:ind w:firstLine="0"/>
              <w:rPr>
                <w:rFonts w:ascii="宋体" w:eastAsia="宋体" w:cs="Times New Roman"/>
                <w:kern w:val="2"/>
                <w:sz w:val="21"/>
                <w:szCs w:val="21"/>
              </w:rPr>
            </w:pPr>
            <w:r>
              <w:rPr>
                <w:rFonts w:ascii="宋体" w:eastAsia="宋体" w:cs="Times New Roman" w:hint="eastAsia"/>
                <w:kern w:val="2"/>
                <w:sz w:val="21"/>
                <w:szCs w:val="21"/>
              </w:rPr>
              <w:t>3、运维服务信息管理系统</w:t>
            </w:r>
          </w:p>
          <w:p>
            <w:pPr>
              <w:spacing w:line="240" w:lineRule="exact"/>
              <w:ind w:firstLine="0"/>
              <w:jc w:val="left"/>
              <w:rPr>
                <w:rFonts w:ascii="宋体" w:eastAsia="宋体" w:cs="Times New Roman"/>
                <w:kern w:val="2"/>
                <w:sz w:val="21"/>
                <w:szCs w:val="21"/>
              </w:rPr>
            </w:pPr>
            <w:r>
              <w:rPr>
                <w:rFonts w:ascii="宋体" w:eastAsia="宋体" w:cs="Times New Roman" w:hint="eastAsia"/>
                <w:kern w:val="2"/>
                <w:sz w:val="21"/>
                <w:szCs w:val="21"/>
              </w:rPr>
              <w:t>投标人需具有专业规范的运维服务信息管理系统，巡检、保养、升级、维修记录及相关设备的运行记录要由运维服务信息管理系统进行处理和保存，并定期向海关提交运维数据。</w:t>
            </w:r>
          </w:p>
        </w:tc>
        <w:tc>
          <w:tcPr>
            <w:tcW w:w="1685" w:type="dxa"/>
            <w:noWrap/>
            <w:vAlign w:val="bottom"/>
          </w:tcPr>
          <w:p>
            <w:pPr>
              <w:autoSpaceDN w:val="0"/>
              <w:spacing w:line="240" w:lineRule="auto"/>
              <w:ind w:firstLine="0"/>
              <w:jc w:val="center"/>
              <w:rPr>
                <w:rFonts w:ascii="Times New Roman" w:eastAsia="宋体" w:hAnsi="Times New Roman" w:cs="Times New Roman"/>
                <w:kern w:val="2"/>
                <w:sz w:val="21"/>
              </w:rPr>
            </w:pPr>
            <w:r>
              <w:rPr>
                <w:rFonts w:ascii="宋体" w:eastAsia="宋体" w:cs="Times New Roman" w:hint="eastAsia"/>
                <w:kern w:val="2"/>
                <w:sz w:val="21"/>
                <w:szCs w:val="21"/>
              </w:rPr>
              <w:t>否</w:t>
            </w:r>
          </w:p>
          <w:p>
            <w:pPr>
              <w:spacing w:line="240" w:lineRule="auto"/>
              <w:ind w:firstLine="0"/>
              <w:jc w:val="center"/>
              <w:rPr>
                <w:rFonts w:ascii="宋体" w:eastAsia="宋体" w:cs="Times New Roman"/>
                <w:kern w:val="2"/>
                <w:sz w:val="21"/>
                <w:szCs w:val="21"/>
              </w:rPr>
            </w:pPr>
          </w:p>
        </w:tc>
      </w:tr>
    </w:tbl>
    <w:p>
      <w:pPr>
        <w:numPr>
          <w:ilvl w:val="0"/>
          <w:numId w:val="2"/>
        </w:numPr>
        <w:spacing w:line="240" w:lineRule="auto"/>
        <w:rPr>
          <w:rFonts w:ascii="宋体" w:eastAsia="宋体" w:cs="Times New Roman"/>
          <w:b/>
          <w:kern w:val="2"/>
          <w:sz w:val="32"/>
          <w:szCs w:val="32"/>
        </w:rPr>
      </w:pPr>
      <w:r>
        <w:rPr>
          <w:rFonts w:ascii="宋体" w:eastAsia="宋体" w:cs="Times New Roman" w:hint="eastAsia"/>
          <w:b/>
          <w:kern w:val="2"/>
          <w:sz w:val="32"/>
          <w:szCs w:val="32"/>
        </w:rPr>
        <w:t>实施</w:t>
      </w:r>
      <w:r>
        <w:rPr>
          <w:rFonts w:ascii="宋体" w:eastAsia="宋体" w:cs="Times New Roman"/>
          <w:b/>
          <w:kern w:val="2"/>
          <w:sz w:val="32"/>
          <w:szCs w:val="32"/>
        </w:rPr>
        <w:t>要求</w:t>
      </w:r>
    </w:p>
    <w:p>
      <w:pPr>
        <w:spacing w:line="560" w:lineRule="exact"/>
        <w:ind w:firstLine="420" w:firstLineChars="200"/>
        <w:rPr>
          <w:rFonts w:ascii="宋体" w:eastAsia="宋体" w:cs="Times New Roman"/>
          <w:kern w:val="2"/>
        </w:rPr>
      </w:pPr>
      <w:r>
        <w:rPr>
          <w:rFonts w:ascii="宋体" w:eastAsia="宋体" w:cs="Times New Roman" w:hint="eastAsia"/>
          <w:kern w:val="2"/>
        </w:rPr>
        <w:t>①★代表实质性指标，不满足该指标项将导致投标被拒绝；加 “▲”标记表示为重要指标项，无标识则表示一般指标项，如不满足将影响评分。</w:t>
      </w:r>
    </w:p>
    <w:p>
      <w:pPr>
        <w:spacing w:line="560" w:lineRule="exact"/>
        <w:ind w:firstLine="420" w:firstLineChars="200"/>
        <w:rPr>
          <w:rFonts w:ascii="宋体" w:eastAsia="宋体" w:cs="Times New Roman"/>
          <w:kern w:val="2"/>
        </w:rPr>
      </w:pPr>
      <w:r>
        <w:rPr>
          <w:rFonts w:ascii="宋体" w:eastAsia="宋体" w:cs="Times New Roman" w:hint="eastAsia"/>
          <w:kern w:val="2"/>
        </w:rPr>
        <w:t>②“证明材料要求”项可填“是”和“否”。填“是”的，投标人须按“</w:t>
      </w:r>
      <w:r>
        <w:rPr>
          <w:rFonts w:ascii="宋体" w:eastAsia="宋体" w:cs="Times New Roman"/>
          <w:kern w:val="2"/>
        </w:rPr>
        <w:t>实施</w:t>
      </w:r>
      <w:r>
        <w:rPr>
          <w:rFonts w:ascii="宋体" w:eastAsia="宋体" w:cs="Times New Roman" w:hint="eastAsia"/>
          <w:kern w:val="2"/>
        </w:rPr>
        <w:t>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001"/>
        <w:gridCol w:w="1276"/>
        <w:gridCol w:w="3749"/>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Borders>
              <w:top w:val="single" w:sz="4" w:space="0" w:color="auto"/>
              <w:left w:val="single" w:sz="4" w:space="0" w:color="auto"/>
              <w:bottom w:val="single" w:sz="4" w:space="0" w:color="auto"/>
              <w:right w:val="single" w:sz="4" w:space="0" w:color="auto"/>
            </w:tcBorders>
            <w:noWrap/>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序号</w:t>
            </w:r>
          </w:p>
        </w:tc>
        <w:tc>
          <w:tcPr>
            <w:tcW w:w="1001" w:type="dxa"/>
            <w:tcBorders>
              <w:top w:val="single" w:sz="4" w:space="0" w:color="auto"/>
              <w:left w:val="single" w:sz="4" w:space="0" w:color="auto"/>
              <w:bottom w:val="single" w:sz="4" w:space="0" w:color="auto"/>
              <w:right w:val="single" w:sz="4" w:space="0" w:color="auto"/>
            </w:tcBorders>
            <w:noWrap/>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内容</w:t>
            </w:r>
          </w:p>
        </w:tc>
        <w:tc>
          <w:tcPr>
            <w:tcW w:w="1276" w:type="dxa"/>
            <w:tcBorders>
              <w:top w:val="single" w:sz="4" w:space="0" w:color="auto"/>
              <w:left w:val="single" w:sz="4" w:space="0" w:color="auto"/>
              <w:bottom w:val="single" w:sz="4" w:space="0" w:color="auto"/>
              <w:right w:val="single" w:sz="4" w:space="0" w:color="auto"/>
            </w:tcBorders>
            <w:noWrap/>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重要性</w:t>
            </w:r>
          </w:p>
        </w:tc>
        <w:tc>
          <w:tcPr>
            <w:tcW w:w="3749" w:type="dxa"/>
            <w:tcBorders>
              <w:top w:val="single" w:sz="4" w:space="0" w:color="auto"/>
              <w:left w:val="single" w:sz="4" w:space="0" w:color="auto"/>
              <w:bottom w:val="single" w:sz="4" w:space="0" w:color="auto"/>
              <w:right w:val="single" w:sz="4" w:space="0" w:color="auto"/>
            </w:tcBorders>
            <w:noWrap/>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实施标准</w:t>
            </w:r>
          </w:p>
        </w:tc>
        <w:tc>
          <w:tcPr>
            <w:tcW w:w="1685" w:type="dxa"/>
            <w:tcBorders>
              <w:top w:val="single" w:sz="4" w:space="0" w:color="auto"/>
              <w:left w:val="single" w:sz="4" w:space="0" w:color="auto"/>
              <w:bottom w:val="single" w:sz="4" w:space="0" w:color="auto"/>
              <w:right w:val="single" w:sz="4" w:space="0" w:color="auto"/>
            </w:tcBorders>
            <w:noWrap/>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证明材料要求</w:t>
            </w:r>
          </w:p>
        </w:tc>
      </w:tr>
      <w:tr>
        <w:tblPrEx>
          <w:tblW w:w="8519" w:type="dxa"/>
          <w:jc w:val="left"/>
          <w:tblInd w:w="0" w:type="dxa"/>
          <w:tblLayout w:type="fixed"/>
          <w:tblCellMar>
            <w:top w:w="0" w:type="dxa"/>
            <w:left w:w="108" w:type="dxa"/>
            <w:bottom w:w="0" w:type="dxa"/>
            <w:right w:w="108" w:type="dxa"/>
          </w:tblCellMar>
        </w:tblPrEx>
        <w:trPr>
          <w:trHeight w:val="557"/>
          <w:jc w:val="left"/>
        </w:trPr>
        <w:tc>
          <w:tcPr>
            <w:tcW w:w="808" w:type="dxa"/>
            <w:vMerge w:val="restart"/>
            <w:noWrap/>
            <w:vAlign w:val="center"/>
          </w:tcPr>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r>
              <w:rPr>
                <w:rFonts w:ascii="宋体" w:eastAsia="宋体" w:cs="Times New Roman" w:hint="eastAsia"/>
                <w:kern w:val="2"/>
                <w:sz w:val="21"/>
              </w:rPr>
              <w:t>1</w:t>
            </w: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0"/>
              <w:rPr>
                <w:rFonts w:ascii="宋体" w:eastAsia="宋体" w:cs="Times New Roman"/>
                <w:kern w:val="2"/>
              </w:rPr>
            </w:pPr>
          </w:p>
          <w:p>
            <w:pPr>
              <w:spacing w:line="240" w:lineRule="auto"/>
              <w:ind w:firstLine="210" w:firstLineChars="100"/>
              <w:rPr>
                <w:rFonts w:ascii="宋体" w:eastAsia="宋体" w:cs="Times New Roman"/>
                <w:kern w:val="2"/>
              </w:rPr>
            </w:pPr>
          </w:p>
          <w:p>
            <w:pPr>
              <w:spacing w:line="240" w:lineRule="auto"/>
              <w:ind w:firstLine="210" w:firstLineChars="100"/>
              <w:rPr>
                <w:rFonts w:ascii="宋体" w:eastAsia="宋体" w:cs="Times New Roman"/>
                <w:kern w:val="2"/>
              </w:rPr>
            </w:pPr>
          </w:p>
          <w:p>
            <w:pPr>
              <w:spacing w:line="240" w:lineRule="auto"/>
              <w:ind w:firstLine="210" w:firstLineChars="100"/>
              <w:rPr>
                <w:rFonts w:ascii="宋体" w:eastAsia="宋体" w:cs="Times New Roman"/>
                <w:kern w:val="2"/>
              </w:rPr>
            </w:pPr>
          </w:p>
          <w:p>
            <w:pPr>
              <w:spacing w:line="240" w:lineRule="auto"/>
              <w:ind w:firstLine="210" w:firstLineChars="100"/>
              <w:rPr>
                <w:rFonts w:ascii="宋体" w:eastAsia="宋体" w:cs="Times New Roman"/>
                <w:kern w:val="2"/>
              </w:rPr>
            </w:pPr>
          </w:p>
          <w:p>
            <w:pPr>
              <w:spacing w:line="240" w:lineRule="auto"/>
              <w:ind w:firstLine="210" w:firstLineChars="100"/>
              <w:rPr>
                <w:rFonts w:ascii="宋体" w:eastAsia="宋体" w:cs="Times New Roman"/>
                <w:kern w:val="2"/>
              </w:rPr>
            </w:pPr>
          </w:p>
          <w:p>
            <w:pPr>
              <w:spacing w:line="240" w:lineRule="auto"/>
              <w:ind w:firstLine="210" w:firstLineChars="100"/>
              <w:rPr>
                <w:rFonts w:ascii="宋体" w:eastAsia="宋体" w:cs="Times New Roman"/>
                <w:kern w:val="2"/>
              </w:rPr>
            </w:pPr>
          </w:p>
          <w:p>
            <w:pPr>
              <w:spacing w:line="240" w:lineRule="auto"/>
              <w:ind w:firstLine="210" w:firstLineChars="100"/>
              <w:rPr>
                <w:rFonts w:ascii="宋体" w:eastAsia="宋体" w:cs="Times New Roman"/>
                <w:kern w:val="2"/>
              </w:rPr>
            </w:pPr>
          </w:p>
          <w:p>
            <w:pPr>
              <w:spacing w:line="240" w:lineRule="auto"/>
              <w:ind w:firstLine="210" w:firstLineChars="100"/>
              <w:rPr>
                <w:rFonts w:ascii="宋体" w:eastAsia="宋体" w:cs="Times New Roman"/>
                <w:kern w:val="2"/>
              </w:rPr>
            </w:pPr>
          </w:p>
          <w:p>
            <w:pPr>
              <w:spacing w:line="240" w:lineRule="auto"/>
              <w:ind w:firstLine="210" w:firstLineChars="100"/>
              <w:rPr>
                <w:rFonts w:ascii="宋体" w:eastAsia="宋体" w:cs="Times New Roman"/>
                <w:kern w:val="2"/>
              </w:rPr>
            </w:pPr>
          </w:p>
          <w:p>
            <w:pPr>
              <w:spacing w:line="240" w:lineRule="auto"/>
              <w:ind w:firstLine="210" w:firstLineChars="100"/>
              <w:rPr>
                <w:rFonts w:ascii="宋体" w:eastAsia="宋体" w:cs="Times New Roman"/>
                <w:kern w:val="2"/>
              </w:rPr>
            </w:pPr>
            <w:r>
              <w:rPr>
                <w:rFonts w:ascii="宋体" w:eastAsia="宋体" w:cs="Times New Roman" w:hint="eastAsia"/>
                <w:kern w:val="2"/>
              </w:rPr>
              <w:t>1</w:t>
            </w:r>
          </w:p>
        </w:tc>
        <w:tc>
          <w:tcPr>
            <w:tcW w:w="1001" w:type="dxa"/>
            <w:vMerge w:val="restart"/>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jc w:val="center"/>
              <w:rPr>
                <w:rFonts w:ascii="宋体" w:eastAsia="宋体" w:cs="Times New Roman"/>
                <w:kern w:val="2"/>
                <w:sz w:val="21"/>
              </w:rPr>
            </w:pPr>
          </w:p>
          <w:p>
            <w:pPr>
              <w:spacing w:line="240" w:lineRule="auto"/>
              <w:ind w:firstLine="0"/>
              <w:jc w:val="center"/>
              <w:rPr>
                <w:rFonts w:ascii="宋体" w:eastAsia="宋体" w:cs="Times New Roman"/>
                <w:kern w:val="2"/>
                <w:sz w:val="21"/>
              </w:rPr>
            </w:pPr>
            <w:r>
              <w:rPr>
                <w:rFonts w:ascii="宋体" w:eastAsia="宋体" w:cs="Times New Roman" w:hint="eastAsia"/>
                <w:kern w:val="2"/>
                <w:sz w:val="21"/>
              </w:rPr>
              <w:t>项目实施过程控制</w:t>
            </w: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rPr>
                <w:rFonts w:ascii="Times New Roman" w:eastAsia="宋体" w:hAnsi="Times New Roman" w:cs="Times New Roman"/>
                <w:kern w:val="2"/>
                <w:sz w:val="21"/>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宋体" w:eastAsia="宋体" w:cs="Times New Roman"/>
                <w:kern w:val="2"/>
              </w:rPr>
            </w:pPr>
          </w:p>
          <w:p>
            <w:pPr>
              <w:spacing w:line="240" w:lineRule="auto"/>
              <w:ind w:firstLine="0"/>
              <w:jc w:val="center"/>
              <w:rPr>
                <w:rFonts w:ascii="Times New Roman" w:eastAsia="宋体" w:hAnsi="Times New Roman" w:cs="Times New Roman"/>
                <w:kern w:val="2"/>
                <w:sz w:val="21"/>
              </w:rPr>
            </w:pPr>
            <w:r>
              <w:rPr>
                <w:rFonts w:ascii="宋体" w:eastAsia="宋体" w:cs="Times New Roman" w:hint="eastAsia"/>
                <w:kern w:val="2"/>
              </w:rPr>
              <w:t>项目实施过程控制</w:t>
            </w: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szCs w:val="21"/>
              </w:rPr>
            </w:pPr>
          </w:p>
        </w:tc>
        <w:tc>
          <w:tcPr>
            <w:tcW w:w="3749" w:type="dxa"/>
            <w:tcBorders>
              <w:top w:val="single" w:sz="4" w:space="0" w:color="auto"/>
              <w:left w:val="single" w:sz="4" w:space="0" w:color="auto"/>
              <w:right w:val="single" w:sz="4" w:space="0" w:color="auto"/>
            </w:tcBorders>
            <w:noWrap/>
          </w:tcPr>
          <w:p>
            <w:pPr>
              <w:spacing w:line="240" w:lineRule="atLeast"/>
              <w:ind w:firstLine="0"/>
              <w:rPr>
                <w:rFonts w:ascii="宋体" w:eastAsia="宋体" w:cs="Times New Roman"/>
                <w:b/>
                <w:kern w:val="2"/>
                <w:sz w:val="21"/>
                <w:szCs w:val="21"/>
              </w:rPr>
            </w:pPr>
            <w:r>
              <w:rPr>
                <w:rFonts w:ascii="宋体" w:eastAsia="宋体" w:cs="Times New Roman" w:hint="eastAsia"/>
                <w:b/>
                <w:kern w:val="2"/>
                <w:sz w:val="21"/>
                <w:szCs w:val="21"/>
              </w:rPr>
              <w:t>预防性维护服务要求</w:t>
            </w:r>
          </w:p>
          <w:p>
            <w:pPr>
              <w:spacing w:line="240" w:lineRule="atLeas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1</w:t>
            </w:r>
            <w:r>
              <w:rPr>
                <w:rFonts w:ascii="宋体" w:eastAsia="宋体" w:cs="宋体" w:hint="eastAsia"/>
                <w:kern w:val="2"/>
                <w:sz w:val="21"/>
                <w:szCs w:val="21"/>
              </w:rPr>
              <w:t>、总体要求</w:t>
            </w:r>
          </w:p>
          <w:p>
            <w:pPr>
              <w:spacing w:line="240" w:lineRule="atLeas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 xml:space="preserve"> </w:t>
            </w:r>
            <w:r>
              <w:rPr>
                <w:rFonts w:ascii="宋体" w:eastAsia="宋体" w:cs="宋体" w:hint="eastAsia"/>
                <w:kern w:val="2"/>
                <w:sz w:val="21"/>
                <w:szCs w:val="21"/>
              </w:rPr>
              <w:t>为保证设备正常运行，投标人应制定并实施以日常巡检、定期保养及相应设备软件升级为基础的预防性维护方案，及时发现并提前处理故障，确保设备正常稳定运行。</w:t>
            </w:r>
          </w:p>
        </w:tc>
        <w:tc>
          <w:tcPr>
            <w:tcW w:w="1685" w:type="dxa"/>
            <w:noWrap/>
            <w:vAlign w:val="center"/>
          </w:tcPr>
          <w:p>
            <w:pPr>
              <w:autoSpaceDN w:val="0"/>
              <w:spacing w:line="240" w:lineRule="atLeast"/>
              <w:ind w:firstLine="0"/>
              <w:jc w:val="center"/>
              <w:rPr>
                <w:rFonts w:ascii="Times New Roman" w:eastAsia="宋体" w:hAnsi="Times New Roman" w:cs="Times New Roman"/>
                <w:kern w:val="2"/>
                <w:sz w:val="21"/>
              </w:rPr>
            </w:pPr>
            <w:r>
              <w:rPr>
                <w:rFonts w:ascii="宋体" w:eastAsia="宋体" w:cs="Times New Roman"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488"/>
          <w:jc w:val="left"/>
        </w:trPr>
        <w:tc>
          <w:tcPr>
            <w:tcW w:w="808" w:type="dxa"/>
            <w:vMerge/>
            <w:noWrap/>
            <w:vAlign w:val="center"/>
          </w:tcPr>
          <w:p/>
        </w:tc>
        <w:tc>
          <w:tcPr>
            <w:tcW w:w="1001" w:type="dxa"/>
            <w:vMerge/>
            <w:tcBorders>
              <w:top w:val="single" w:sz="4" w:space="0" w:color="auto"/>
              <w:left w:val="single" w:sz="4" w:space="0" w:color="auto"/>
              <w:right w:val="single" w:sz="4" w:space="0" w:color="auto"/>
            </w:tcBorders>
            <w:noWrap/>
            <w:vAlign w:val="center"/>
          </w:tcP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szCs w:val="21"/>
              </w:rPr>
            </w:pPr>
          </w:p>
        </w:tc>
        <w:tc>
          <w:tcPr>
            <w:tcW w:w="3749" w:type="dxa"/>
            <w:tcBorders>
              <w:top w:val="single" w:sz="4" w:space="0" w:color="auto"/>
              <w:left w:val="single" w:sz="4" w:space="0" w:color="auto"/>
              <w:right w:val="single" w:sz="4" w:space="0" w:color="auto"/>
            </w:tcBorders>
            <w:noWrap/>
          </w:tcPr>
          <w:p>
            <w:pPr>
              <w:spacing w:line="240" w:lineRule="atLeas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2</w:t>
            </w:r>
            <w:r>
              <w:rPr>
                <w:rFonts w:ascii="宋体" w:eastAsia="宋体" w:cs="宋体" w:hint="eastAsia"/>
                <w:kern w:val="2"/>
                <w:sz w:val="21"/>
                <w:szCs w:val="21"/>
              </w:rPr>
              <w:t>、预防性维护方案</w:t>
            </w:r>
          </w:p>
          <w:p>
            <w:pPr>
              <w:spacing w:line="240" w:lineRule="atLeas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 xml:space="preserve"> </w:t>
            </w:r>
            <w:r>
              <w:rPr>
                <w:rFonts w:ascii="宋体" w:eastAsia="宋体" w:cs="宋体" w:hint="eastAsia"/>
                <w:kern w:val="2"/>
                <w:sz w:val="21"/>
                <w:szCs w:val="21"/>
              </w:rPr>
              <w:t>投标人应根据不同型号设备的技术特点及实际使用情况，制定有针对性的预防性维护方案，包括但不限于设备巡检规范、设备定期保养规范、设备保养计划等。</w:t>
            </w:r>
          </w:p>
        </w:tc>
        <w:tc>
          <w:tcPr>
            <w:tcW w:w="1685" w:type="dxa"/>
            <w:noWrap/>
            <w:vAlign w:val="center"/>
          </w:tcPr>
          <w:p>
            <w:pPr>
              <w:autoSpaceDN w:val="0"/>
              <w:spacing w:line="240" w:lineRule="atLeast"/>
              <w:ind w:firstLine="0"/>
              <w:rPr>
                <w:rFonts w:ascii="Times New Roman" w:eastAsia="宋体" w:hAnsi="Times New Roman" w:cs="Times New Roman"/>
                <w:kern w:val="2"/>
                <w:sz w:val="21"/>
              </w:rPr>
            </w:pPr>
            <w:r>
              <w:rPr>
                <w:rFonts w:ascii="宋体" w:eastAsia="宋体" w:cs="Times New Roman" w:hint="eastAsia"/>
                <w:kern w:val="2"/>
                <w:sz w:val="21"/>
                <w:szCs w:val="21"/>
              </w:rPr>
              <w:t>提供加盖</w:t>
            </w:r>
            <w:r>
              <w:rPr>
                <w:rFonts w:ascii="宋体" w:eastAsia="宋体" w:cs="宋体" w:hint="eastAsia"/>
                <w:kern w:val="2"/>
                <w:sz w:val="21"/>
                <w:szCs w:val="21"/>
              </w:rPr>
              <w:t>投标人公章的</w:t>
            </w:r>
            <w:r>
              <w:rPr>
                <w:rFonts w:ascii="宋体" w:eastAsia="宋体" w:cs="Times New Roman" w:hint="eastAsia"/>
                <w:kern w:val="2"/>
                <w:sz w:val="21"/>
                <w:szCs w:val="21"/>
              </w:rPr>
              <w:t>预防性维护方案</w:t>
            </w:r>
          </w:p>
          <w:p>
            <w:pPr>
              <w:spacing w:line="240" w:lineRule="atLeast"/>
              <w:ind w:firstLine="0"/>
              <w:rPr>
                <w:rFonts w:ascii="宋体" w:eastAsia="宋体" w:cs="Times New Roman"/>
                <w:kern w:val="2"/>
                <w:sz w:val="21"/>
              </w:rPr>
            </w:pPr>
          </w:p>
        </w:tc>
      </w:tr>
      <w:tr>
        <w:tblPrEx>
          <w:tblW w:w="8519" w:type="dxa"/>
          <w:jc w:val="left"/>
          <w:tblInd w:w="0" w:type="dxa"/>
          <w:tblLayout w:type="fixed"/>
          <w:tblCellMar>
            <w:top w:w="0" w:type="dxa"/>
            <w:left w:w="108" w:type="dxa"/>
            <w:bottom w:w="0" w:type="dxa"/>
            <w:right w:w="108" w:type="dxa"/>
          </w:tblCellMar>
        </w:tblPrEx>
        <w:trPr>
          <w:trHeight w:val="488"/>
          <w:jc w:val="left"/>
        </w:trPr>
        <w:tc>
          <w:tcPr>
            <w:tcW w:w="808" w:type="dxa"/>
            <w:vMerge/>
            <w:noWrap/>
            <w:vAlign w:val="center"/>
          </w:tcPr>
          <w:p/>
        </w:tc>
        <w:tc>
          <w:tcPr>
            <w:tcW w:w="1001" w:type="dxa"/>
            <w:vMerge/>
            <w:tcBorders>
              <w:top w:val="single" w:sz="4" w:space="0" w:color="auto"/>
              <w:left w:val="single" w:sz="4" w:space="0" w:color="auto"/>
              <w:right w:val="single" w:sz="4" w:space="0" w:color="auto"/>
            </w:tcBorders>
            <w:noWrap/>
            <w:vAlign w:val="center"/>
          </w:tcP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szCs w:val="21"/>
              </w:rPr>
            </w:pPr>
          </w:p>
        </w:tc>
        <w:tc>
          <w:tcPr>
            <w:tcW w:w="3749" w:type="dxa"/>
            <w:tcBorders>
              <w:top w:val="single" w:sz="4" w:space="0" w:color="auto"/>
              <w:left w:val="single" w:sz="4" w:space="0" w:color="auto"/>
              <w:right w:val="single" w:sz="4" w:space="0" w:color="auto"/>
            </w:tcBorders>
            <w:noWrap/>
          </w:tcPr>
          <w:p>
            <w:pPr>
              <w:spacing w:line="240" w:lineRule="atLeas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3</w:t>
            </w:r>
            <w:r>
              <w:rPr>
                <w:rFonts w:ascii="宋体" w:eastAsia="宋体" w:cs="宋体" w:hint="eastAsia"/>
                <w:kern w:val="2"/>
                <w:sz w:val="21"/>
                <w:szCs w:val="21"/>
              </w:rPr>
              <w:t>、日常巡检</w:t>
            </w:r>
          </w:p>
          <w:p>
            <w:pPr>
              <w:spacing w:line="240" w:lineRule="atLeast"/>
              <w:ind w:firstLine="0"/>
              <w:rPr>
                <w:rFonts w:ascii="Times New Roman" w:eastAsia="宋体" w:hAnsi="Times New Roman" w:cs="Times New Roman"/>
                <w:kern w:val="2"/>
                <w:sz w:val="21"/>
                <w:szCs w:val="21"/>
              </w:rPr>
            </w:pPr>
            <w:r>
              <w:rPr>
                <w:rFonts w:ascii="宋体" w:eastAsia="宋体" w:cs="宋体" w:hint="eastAsia"/>
                <w:kern w:val="2"/>
                <w:sz w:val="21"/>
                <w:szCs w:val="21"/>
              </w:rPr>
              <w:t>工程师每天对设备的运行状态进行巡查，记录设备开关机时间，检查安全联锁系统、监控设备运行状态和趋势，及时发现潜在故障隐患并在不影响设备运行的情况下制定处理计划、准备处理资源，提前处理隐患以避免故障发生。巡检内容见附件</w:t>
            </w:r>
            <w:r>
              <w:rPr>
                <w:rFonts w:ascii="Times New Roman" w:eastAsia="宋体" w:hAnsi="Times New Roman" w:cs="Times New Roman"/>
                <w:kern w:val="2"/>
                <w:sz w:val="21"/>
                <w:szCs w:val="21"/>
              </w:rPr>
              <w:t>3</w:t>
            </w:r>
            <w:r>
              <w:rPr>
                <w:rFonts w:ascii="宋体" w:eastAsia="宋体" w:cs="宋体" w:hint="eastAsia"/>
                <w:kern w:val="2"/>
                <w:sz w:val="21"/>
                <w:szCs w:val="21"/>
              </w:rPr>
              <w:t>《日常巡检项目》。</w:t>
            </w:r>
          </w:p>
        </w:tc>
        <w:tc>
          <w:tcPr>
            <w:tcW w:w="1685" w:type="dxa"/>
            <w:noWrap/>
            <w:vAlign w:val="center"/>
          </w:tcPr>
          <w:p>
            <w:pPr>
              <w:autoSpaceDN w:val="0"/>
              <w:spacing w:line="240" w:lineRule="auto"/>
              <w:ind w:firstLine="0"/>
              <w:rPr>
                <w:rFonts w:ascii="Times New Roman" w:eastAsia="宋体" w:hAnsi="Times New Roman" w:cs="Times New Roman"/>
                <w:kern w:val="2"/>
                <w:sz w:val="21"/>
              </w:rPr>
            </w:pPr>
            <w:r>
              <w:rPr>
                <w:rFonts w:ascii="宋体" w:eastAsia="宋体" w:cs="Times New Roman" w:hint="eastAsia"/>
                <w:kern w:val="2"/>
                <w:sz w:val="21"/>
                <w:szCs w:val="21"/>
              </w:rPr>
              <w:t>否</w:t>
            </w:r>
          </w:p>
          <w:p>
            <w:pPr>
              <w:spacing w:line="240" w:lineRule="atLeast"/>
              <w:ind w:firstLine="0"/>
              <w:rPr>
                <w:rFonts w:ascii="宋体" w:eastAsia="宋体" w:cs="Times New Roman"/>
                <w:kern w:val="2"/>
                <w:sz w:val="21"/>
              </w:rPr>
            </w:pPr>
          </w:p>
        </w:tc>
      </w:tr>
      <w:tr>
        <w:tblPrEx>
          <w:tblW w:w="8519" w:type="dxa"/>
          <w:jc w:val="left"/>
          <w:tblInd w:w="0" w:type="dxa"/>
          <w:tblLayout w:type="fixed"/>
          <w:tblCellMar>
            <w:top w:w="0" w:type="dxa"/>
            <w:left w:w="108" w:type="dxa"/>
            <w:bottom w:w="0" w:type="dxa"/>
            <w:right w:w="108" w:type="dxa"/>
          </w:tblCellMar>
        </w:tblPrEx>
        <w:trPr>
          <w:trHeight w:val="488"/>
          <w:jc w:val="left"/>
        </w:trPr>
        <w:tc>
          <w:tcPr>
            <w:tcW w:w="808" w:type="dxa"/>
            <w:vMerge/>
            <w:noWrap/>
            <w:vAlign w:val="center"/>
          </w:tcPr>
          <w:p/>
        </w:tc>
        <w:tc>
          <w:tcPr>
            <w:tcW w:w="1001" w:type="dxa"/>
            <w:vMerge/>
            <w:tcBorders>
              <w:top w:val="single" w:sz="4" w:space="0" w:color="auto"/>
              <w:left w:val="single" w:sz="4" w:space="0" w:color="auto"/>
              <w:right w:val="single" w:sz="4" w:space="0" w:color="auto"/>
            </w:tcBorders>
            <w:noWrap/>
            <w:vAlign w:val="center"/>
          </w:tcP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szCs w:val="21"/>
              </w:rPr>
            </w:pPr>
          </w:p>
        </w:tc>
        <w:tc>
          <w:tcPr>
            <w:tcW w:w="3749" w:type="dxa"/>
            <w:tcBorders>
              <w:top w:val="single" w:sz="4" w:space="0" w:color="auto"/>
              <w:left w:val="single" w:sz="4" w:space="0" w:color="auto"/>
              <w:right w:val="single" w:sz="4" w:space="0" w:color="auto"/>
            </w:tcBorders>
            <w:noWrap/>
          </w:tcPr>
          <w:p>
            <w:pPr>
              <w:spacing w:line="240" w:lineRule="atLeas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4</w:t>
            </w:r>
            <w:r>
              <w:rPr>
                <w:rFonts w:ascii="宋体" w:eastAsia="宋体" w:cs="宋体" w:hint="eastAsia"/>
                <w:kern w:val="2"/>
                <w:sz w:val="21"/>
                <w:szCs w:val="21"/>
              </w:rPr>
              <w:t>、常规保养</w:t>
            </w:r>
          </w:p>
          <w:p>
            <w:pPr>
              <w:spacing w:line="240" w:lineRule="atLeast"/>
              <w:ind w:firstLine="0"/>
              <w:rPr>
                <w:rFonts w:ascii="Times New Roman" w:eastAsia="宋体" w:hAnsi="Times New Roman" w:cs="Times New Roman"/>
                <w:kern w:val="2"/>
                <w:sz w:val="21"/>
                <w:szCs w:val="21"/>
              </w:rPr>
            </w:pPr>
            <w:r>
              <w:rPr>
                <w:rFonts w:ascii="宋体" w:eastAsia="宋体" w:cs="宋体" w:hint="eastAsia"/>
                <w:kern w:val="2"/>
                <w:sz w:val="21"/>
                <w:szCs w:val="21"/>
              </w:rPr>
              <w:t>工程师按照设备定期保养规范，并结合设备实际运行状态，制定保养计划，对设备进行月、季常规保养，完成保养记录。月保养内容见附件</w:t>
            </w:r>
            <w:r>
              <w:rPr>
                <w:rFonts w:ascii="Times New Roman" w:eastAsia="宋体" w:hAnsi="Times New Roman" w:cs="Times New Roman"/>
                <w:kern w:val="2"/>
                <w:sz w:val="21"/>
                <w:szCs w:val="21"/>
              </w:rPr>
              <w:t>4</w:t>
            </w:r>
            <w:r>
              <w:rPr>
                <w:rFonts w:ascii="宋体" w:eastAsia="宋体" w:cs="宋体" w:hint="eastAsia"/>
                <w:kern w:val="2"/>
                <w:sz w:val="21"/>
                <w:szCs w:val="21"/>
              </w:rPr>
              <w:t>《月保养项目》，季保养内容见附件</w:t>
            </w:r>
            <w:r>
              <w:rPr>
                <w:rFonts w:ascii="Times New Roman" w:eastAsia="宋体" w:hAnsi="Times New Roman" w:cs="Times New Roman"/>
                <w:kern w:val="2"/>
                <w:sz w:val="21"/>
                <w:szCs w:val="21"/>
              </w:rPr>
              <w:t>5</w:t>
            </w:r>
            <w:r>
              <w:rPr>
                <w:rFonts w:ascii="宋体" w:eastAsia="宋体" w:cs="宋体" w:hint="eastAsia"/>
                <w:kern w:val="2"/>
                <w:sz w:val="21"/>
                <w:szCs w:val="21"/>
              </w:rPr>
              <w:t>《季保养项目》。</w:t>
            </w:r>
          </w:p>
        </w:tc>
        <w:tc>
          <w:tcPr>
            <w:tcW w:w="1685" w:type="dxa"/>
            <w:noWrap/>
            <w:vAlign w:val="center"/>
          </w:tcPr>
          <w:p>
            <w:pPr>
              <w:autoSpaceDN w:val="0"/>
              <w:spacing w:line="240" w:lineRule="auto"/>
              <w:ind w:firstLine="0"/>
              <w:rPr>
                <w:rFonts w:ascii="Times New Roman" w:eastAsia="宋体" w:hAnsi="Times New Roman" w:cs="Times New Roman"/>
                <w:kern w:val="2"/>
                <w:sz w:val="21"/>
              </w:rPr>
            </w:pPr>
            <w:r>
              <w:rPr>
                <w:rFonts w:ascii="宋体" w:eastAsia="宋体" w:cs="Times New Roman" w:hint="eastAsia"/>
                <w:kern w:val="2"/>
                <w:sz w:val="21"/>
                <w:szCs w:val="21"/>
              </w:rPr>
              <w:t>否</w:t>
            </w:r>
          </w:p>
          <w:p>
            <w:pPr>
              <w:spacing w:line="240" w:lineRule="atLeast"/>
              <w:ind w:firstLine="0"/>
              <w:rPr>
                <w:rFonts w:ascii="宋体" w:eastAsia="宋体" w:cs="Times New Roman"/>
                <w:kern w:val="2"/>
                <w:sz w:val="21"/>
              </w:rPr>
            </w:pPr>
          </w:p>
        </w:tc>
      </w:tr>
      <w:tr>
        <w:tblPrEx>
          <w:tblW w:w="8519" w:type="dxa"/>
          <w:jc w:val="left"/>
          <w:tblInd w:w="0" w:type="dxa"/>
          <w:tblLayout w:type="fixed"/>
          <w:tblCellMar>
            <w:top w:w="0" w:type="dxa"/>
            <w:left w:w="108" w:type="dxa"/>
            <w:bottom w:w="0" w:type="dxa"/>
            <w:right w:w="108" w:type="dxa"/>
          </w:tblCellMar>
        </w:tblPrEx>
        <w:trPr>
          <w:trHeight w:val="488"/>
          <w:jc w:val="left"/>
        </w:trPr>
        <w:tc>
          <w:tcPr>
            <w:tcW w:w="808" w:type="dxa"/>
            <w:vMerge/>
            <w:noWrap/>
            <w:vAlign w:val="center"/>
          </w:tcPr>
          <w:p/>
        </w:tc>
        <w:tc>
          <w:tcPr>
            <w:tcW w:w="1001" w:type="dxa"/>
            <w:vMerge/>
            <w:tcBorders>
              <w:top w:val="single" w:sz="4" w:space="0" w:color="auto"/>
              <w:left w:val="single" w:sz="4" w:space="0" w:color="auto"/>
              <w:right w:val="single" w:sz="4" w:space="0" w:color="auto"/>
            </w:tcBorders>
            <w:noWrap/>
            <w:vAlign w:val="center"/>
          </w:tcP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szCs w:val="21"/>
              </w:rPr>
            </w:pPr>
          </w:p>
        </w:tc>
        <w:tc>
          <w:tcPr>
            <w:tcW w:w="3749" w:type="dxa"/>
            <w:tcBorders>
              <w:top w:val="single" w:sz="4" w:space="0" w:color="auto"/>
              <w:left w:val="single" w:sz="4" w:space="0" w:color="auto"/>
              <w:right w:val="single" w:sz="4" w:space="0" w:color="auto"/>
            </w:tcBorders>
            <w:noWrap/>
          </w:tcPr>
          <w:p>
            <w:pPr>
              <w:spacing w:line="240" w:lineRule="atLeas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5</w:t>
            </w:r>
            <w:r>
              <w:rPr>
                <w:rFonts w:ascii="宋体" w:eastAsia="宋体" w:cs="宋体" w:hint="eastAsia"/>
                <w:kern w:val="2"/>
                <w:sz w:val="21"/>
                <w:szCs w:val="21"/>
              </w:rPr>
              <w:t>、设备预检</w:t>
            </w:r>
          </w:p>
          <w:p>
            <w:pPr>
              <w:spacing w:line="240" w:lineRule="atLeas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 xml:space="preserve"> </w:t>
            </w:r>
            <w:r>
              <w:rPr>
                <w:rFonts w:ascii="宋体" w:eastAsia="宋体" w:cs="宋体" w:hint="eastAsia"/>
                <w:kern w:val="2"/>
                <w:sz w:val="21"/>
                <w:szCs w:val="21"/>
              </w:rPr>
              <w:t>预检是在巡检和常规保养基础上对某些分系统、核心部件进行把关检查，及时发现故障隐患，防止出现偏差，投标人应制定设备预检规范，在设备半年度</w:t>
            </w:r>
            <w:r>
              <w:rPr>
                <w:rFonts w:ascii="Times New Roman" w:eastAsia="宋体" w:hAnsi="Times New Roman" w:cs="Times New Roman"/>
                <w:kern w:val="2"/>
                <w:sz w:val="21"/>
                <w:szCs w:val="21"/>
              </w:rPr>
              <w:t>/</w:t>
            </w:r>
            <w:r>
              <w:rPr>
                <w:rFonts w:ascii="宋体" w:eastAsia="宋体" w:cs="宋体" w:hint="eastAsia"/>
                <w:kern w:val="2"/>
                <w:sz w:val="21"/>
                <w:szCs w:val="21"/>
              </w:rPr>
              <w:t>年度保养前对设备进行全面预检工作，形成预检记录，为保养提供依据。</w:t>
            </w:r>
          </w:p>
        </w:tc>
        <w:tc>
          <w:tcPr>
            <w:tcW w:w="1685" w:type="dxa"/>
            <w:noWrap/>
            <w:vAlign w:val="center"/>
          </w:tcPr>
          <w:p>
            <w:pPr>
              <w:autoSpaceDN w:val="0"/>
              <w:spacing w:line="240" w:lineRule="auto"/>
              <w:ind w:firstLine="0"/>
              <w:rPr>
                <w:rFonts w:ascii="Times New Roman" w:eastAsia="宋体" w:hAnsi="Times New Roman" w:cs="Times New Roman"/>
                <w:kern w:val="2"/>
                <w:sz w:val="21"/>
              </w:rPr>
            </w:pPr>
            <w:r>
              <w:rPr>
                <w:rFonts w:ascii="宋体" w:eastAsia="宋体" w:cs="Times New Roman" w:hint="eastAsia"/>
                <w:kern w:val="2"/>
                <w:sz w:val="21"/>
                <w:szCs w:val="21"/>
              </w:rPr>
              <w:t>否</w:t>
            </w:r>
          </w:p>
          <w:p>
            <w:pPr>
              <w:spacing w:line="240" w:lineRule="atLeast"/>
              <w:ind w:firstLine="0"/>
              <w:rPr>
                <w:rFonts w:ascii="宋体" w:eastAsia="宋体" w:cs="Times New Roman"/>
                <w:kern w:val="2"/>
                <w:sz w:val="21"/>
              </w:rPr>
            </w:pPr>
          </w:p>
        </w:tc>
      </w:tr>
      <w:tr>
        <w:tblPrEx>
          <w:tblW w:w="8519" w:type="dxa"/>
          <w:jc w:val="left"/>
          <w:tblInd w:w="0" w:type="dxa"/>
          <w:tblLayout w:type="fixed"/>
          <w:tblCellMar>
            <w:top w:w="0" w:type="dxa"/>
            <w:left w:w="108" w:type="dxa"/>
            <w:bottom w:w="0" w:type="dxa"/>
            <w:right w:w="108" w:type="dxa"/>
          </w:tblCellMar>
        </w:tblPrEx>
        <w:trPr>
          <w:trHeight w:val="488"/>
          <w:jc w:val="left"/>
        </w:trPr>
        <w:tc>
          <w:tcPr>
            <w:tcW w:w="808" w:type="dxa"/>
            <w:vMerge/>
            <w:noWrap/>
            <w:vAlign w:val="center"/>
          </w:tcPr>
          <w:p/>
        </w:tc>
        <w:tc>
          <w:tcPr>
            <w:tcW w:w="1001" w:type="dxa"/>
            <w:vMerge/>
            <w:tcBorders>
              <w:top w:val="single" w:sz="4" w:space="0" w:color="auto"/>
              <w:left w:val="single" w:sz="4" w:space="0" w:color="auto"/>
              <w:right w:val="single" w:sz="4" w:space="0" w:color="auto"/>
            </w:tcBorders>
            <w:noWrap/>
            <w:vAlign w:val="center"/>
          </w:tcP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szCs w:val="21"/>
              </w:rPr>
            </w:pPr>
          </w:p>
        </w:tc>
        <w:tc>
          <w:tcPr>
            <w:tcW w:w="3749" w:type="dxa"/>
            <w:tcBorders>
              <w:top w:val="single" w:sz="4" w:space="0" w:color="auto"/>
              <w:left w:val="single" w:sz="4" w:space="0" w:color="auto"/>
              <w:right w:val="single" w:sz="4" w:space="0" w:color="auto"/>
            </w:tcBorders>
            <w:noWrap/>
          </w:tcPr>
          <w:p>
            <w:pPr>
              <w:spacing w:line="240" w:lineRule="atLeas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6</w:t>
            </w:r>
            <w:r>
              <w:rPr>
                <w:rFonts w:ascii="宋体" w:eastAsia="宋体" w:cs="宋体" w:hint="eastAsia"/>
                <w:kern w:val="2"/>
                <w:sz w:val="21"/>
                <w:szCs w:val="21"/>
              </w:rPr>
              <w:t>、半年度</w:t>
            </w:r>
            <w:r>
              <w:rPr>
                <w:rFonts w:ascii="Times New Roman" w:eastAsia="宋体" w:hAnsi="Times New Roman" w:cs="Times New Roman"/>
                <w:kern w:val="2"/>
                <w:sz w:val="21"/>
                <w:szCs w:val="21"/>
              </w:rPr>
              <w:t>/</w:t>
            </w:r>
            <w:r>
              <w:rPr>
                <w:rFonts w:ascii="宋体" w:eastAsia="宋体" w:cs="宋体" w:hint="eastAsia"/>
                <w:kern w:val="2"/>
                <w:sz w:val="21"/>
                <w:szCs w:val="21"/>
              </w:rPr>
              <w:t>年度保养</w:t>
            </w:r>
          </w:p>
          <w:p>
            <w:pPr>
              <w:spacing w:line="240" w:lineRule="atLeas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 xml:space="preserve"> </w:t>
            </w:r>
            <w:r>
              <w:rPr>
                <w:rFonts w:ascii="宋体" w:eastAsia="宋体" w:cs="宋体" w:hint="eastAsia"/>
                <w:kern w:val="2"/>
                <w:sz w:val="21"/>
                <w:szCs w:val="21"/>
              </w:rPr>
              <w:t>投标人依据设备半年度</w:t>
            </w:r>
            <w:r>
              <w:rPr>
                <w:rFonts w:ascii="Times New Roman" w:eastAsia="宋体" w:hAnsi="Times New Roman" w:cs="Times New Roman"/>
                <w:kern w:val="2"/>
                <w:sz w:val="21"/>
                <w:szCs w:val="21"/>
              </w:rPr>
              <w:t>/</w:t>
            </w:r>
            <w:r>
              <w:rPr>
                <w:rFonts w:ascii="宋体" w:eastAsia="宋体" w:cs="宋体" w:hint="eastAsia"/>
                <w:kern w:val="2"/>
                <w:sz w:val="21"/>
                <w:szCs w:val="21"/>
              </w:rPr>
              <w:t>年度保养规范要求，并结合设备的实际使用情况及预检结果，制定相应的保养计划。每套设备在运维周期内分别完成一次半年度保养及年度保养。包括对加速器分系统、探测器分系统、扫描装置分系统、运行检查分系统、系统监控部分（含扫描控制分系统、辐射安全分系统）、数据管理分系统及其他配套分系统等各分系统进行逐项保养，并完成保养记录和保养报告。半年保养内容见附件</w:t>
            </w:r>
            <w:r>
              <w:rPr>
                <w:rFonts w:ascii="Times New Roman" w:eastAsia="宋体" w:hAnsi="Times New Roman" w:cs="Times New Roman"/>
                <w:kern w:val="2"/>
                <w:sz w:val="21"/>
                <w:szCs w:val="21"/>
              </w:rPr>
              <w:t>6</w:t>
            </w:r>
            <w:r>
              <w:rPr>
                <w:rFonts w:ascii="宋体" w:eastAsia="宋体" w:cs="宋体" w:hint="eastAsia"/>
                <w:kern w:val="2"/>
                <w:sz w:val="21"/>
                <w:szCs w:val="21"/>
              </w:rPr>
              <w:t>《半年保养项目》，年度保养内容见附件</w:t>
            </w:r>
            <w:r>
              <w:rPr>
                <w:rFonts w:ascii="Times New Roman" w:eastAsia="宋体" w:hAnsi="Times New Roman" w:cs="Times New Roman"/>
                <w:kern w:val="2"/>
                <w:sz w:val="21"/>
                <w:szCs w:val="21"/>
              </w:rPr>
              <w:t>7</w:t>
            </w:r>
            <w:r>
              <w:rPr>
                <w:rFonts w:ascii="宋体" w:eastAsia="宋体" w:cs="宋体" w:hint="eastAsia"/>
                <w:kern w:val="2"/>
                <w:sz w:val="21"/>
                <w:szCs w:val="21"/>
              </w:rPr>
              <w:t>《年度保养项目》。</w:t>
            </w:r>
          </w:p>
        </w:tc>
        <w:tc>
          <w:tcPr>
            <w:tcW w:w="1685" w:type="dxa"/>
            <w:noWrap/>
            <w:vAlign w:val="center"/>
          </w:tcPr>
          <w:p>
            <w:pPr>
              <w:autoSpaceDN w:val="0"/>
              <w:spacing w:line="240" w:lineRule="auto"/>
              <w:ind w:firstLine="0"/>
              <w:rPr>
                <w:rFonts w:ascii="Times New Roman" w:eastAsia="宋体" w:hAnsi="Times New Roman" w:cs="Times New Roman"/>
                <w:kern w:val="2"/>
                <w:sz w:val="21"/>
              </w:rPr>
            </w:pPr>
            <w:r>
              <w:rPr>
                <w:rFonts w:ascii="宋体" w:eastAsia="宋体" w:cs="Times New Roman" w:hint="eastAsia"/>
                <w:kern w:val="2"/>
                <w:sz w:val="21"/>
                <w:szCs w:val="21"/>
              </w:rPr>
              <w:t>否</w:t>
            </w:r>
          </w:p>
          <w:p>
            <w:pPr>
              <w:spacing w:line="240" w:lineRule="atLeast"/>
              <w:ind w:firstLine="0"/>
              <w:rPr>
                <w:rFonts w:ascii="宋体" w:eastAsia="宋体" w:cs="Times New Roman"/>
                <w:kern w:val="2"/>
                <w:sz w:val="21"/>
              </w:rPr>
            </w:pPr>
          </w:p>
        </w:tc>
      </w:tr>
      <w:tr>
        <w:tblPrEx>
          <w:tblW w:w="8519" w:type="dxa"/>
          <w:jc w:val="left"/>
          <w:tblInd w:w="0" w:type="dxa"/>
          <w:tblLayout w:type="fixed"/>
          <w:tblCellMar>
            <w:top w:w="0" w:type="dxa"/>
            <w:left w:w="108" w:type="dxa"/>
            <w:bottom w:w="0" w:type="dxa"/>
            <w:right w:w="108" w:type="dxa"/>
          </w:tblCellMar>
        </w:tblPrEx>
        <w:trPr>
          <w:trHeight w:val="488"/>
          <w:jc w:val="left"/>
        </w:trPr>
        <w:tc>
          <w:tcPr>
            <w:tcW w:w="808" w:type="dxa"/>
            <w:vMerge/>
            <w:noWrap/>
            <w:vAlign w:val="center"/>
          </w:tcPr>
          <w:p/>
        </w:tc>
        <w:tc>
          <w:tcPr>
            <w:tcW w:w="1001" w:type="dxa"/>
            <w:vMerge/>
            <w:tcBorders>
              <w:top w:val="single" w:sz="4" w:space="0" w:color="auto"/>
              <w:left w:val="single" w:sz="4" w:space="0" w:color="auto"/>
              <w:right w:val="single" w:sz="4" w:space="0" w:color="auto"/>
            </w:tcBorders>
            <w:noWrap/>
            <w:vAlign w:val="center"/>
          </w:tcP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szCs w:val="21"/>
              </w:rPr>
            </w:pPr>
          </w:p>
        </w:tc>
        <w:tc>
          <w:tcPr>
            <w:tcW w:w="3749" w:type="dxa"/>
            <w:tcBorders>
              <w:top w:val="single" w:sz="4" w:space="0" w:color="auto"/>
              <w:left w:val="single" w:sz="4" w:space="0" w:color="auto"/>
              <w:right w:val="single" w:sz="4" w:space="0" w:color="auto"/>
            </w:tcBorders>
            <w:noWrap/>
          </w:tcPr>
          <w:p>
            <w:pPr>
              <w:spacing w:line="240" w:lineRule="atLeas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7</w:t>
            </w:r>
            <w:r>
              <w:rPr>
                <w:rFonts w:ascii="宋体" w:eastAsia="宋体" w:cs="宋体" w:hint="eastAsia"/>
                <w:kern w:val="2"/>
                <w:sz w:val="21"/>
                <w:szCs w:val="21"/>
              </w:rPr>
              <w:t>、设备性能检测</w:t>
            </w:r>
          </w:p>
          <w:p>
            <w:pPr>
              <w:spacing w:line="240" w:lineRule="atLeast"/>
              <w:ind w:firstLine="0"/>
              <w:rPr>
                <w:rFonts w:ascii="Times New Roman" w:eastAsia="宋体" w:hAnsi="Times New Roman" w:cs="Times New Roman"/>
                <w:kern w:val="2"/>
                <w:sz w:val="21"/>
                <w:szCs w:val="21"/>
              </w:rPr>
            </w:pPr>
            <w:r>
              <w:rPr>
                <w:rFonts w:ascii="宋体" w:eastAsia="宋体" w:cs="宋体" w:hint="eastAsia"/>
                <w:kern w:val="2"/>
                <w:sz w:val="21"/>
                <w:szCs w:val="21"/>
              </w:rPr>
              <w:t>投标人需制定检验规范并配备符合要求的检测工具，定期对设备做全面性能检测和校准，对周边放射区域进行环境辐射剂量率检测，以保证设备持续稳定、安全运行，达到符合标准的图像质量及保障客户查验工作质量。</w:t>
            </w:r>
          </w:p>
        </w:tc>
        <w:tc>
          <w:tcPr>
            <w:tcW w:w="1685" w:type="dxa"/>
            <w:noWrap/>
            <w:vAlign w:val="center"/>
          </w:tcPr>
          <w:p>
            <w:pPr>
              <w:autoSpaceDN w:val="0"/>
              <w:spacing w:line="240" w:lineRule="auto"/>
              <w:ind w:firstLine="0"/>
              <w:rPr>
                <w:rFonts w:ascii="Times New Roman" w:eastAsia="宋体" w:hAnsi="Times New Roman" w:cs="Times New Roman"/>
                <w:kern w:val="2"/>
                <w:sz w:val="21"/>
              </w:rPr>
            </w:pPr>
            <w:r>
              <w:rPr>
                <w:rFonts w:ascii="宋体" w:eastAsia="宋体" w:cs="Times New Roman" w:hint="eastAsia"/>
                <w:kern w:val="2"/>
                <w:sz w:val="21"/>
                <w:szCs w:val="21"/>
              </w:rPr>
              <w:t>否</w:t>
            </w:r>
          </w:p>
          <w:p>
            <w:pPr>
              <w:spacing w:line="240" w:lineRule="atLeast"/>
              <w:ind w:firstLine="0"/>
              <w:rPr>
                <w:rFonts w:ascii="宋体" w:eastAsia="宋体" w:cs="Times New Roman"/>
                <w:kern w:val="2"/>
                <w:sz w:val="21"/>
              </w:rPr>
            </w:pPr>
          </w:p>
        </w:tc>
      </w:tr>
      <w:tr>
        <w:tblPrEx>
          <w:tblW w:w="8519" w:type="dxa"/>
          <w:jc w:val="left"/>
          <w:tblInd w:w="0" w:type="dxa"/>
          <w:tblLayout w:type="fixed"/>
          <w:tblCellMar>
            <w:top w:w="0" w:type="dxa"/>
            <w:left w:w="108" w:type="dxa"/>
            <w:bottom w:w="0" w:type="dxa"/>
            <w:right w:w="108" w:type="dxa"/>
          </w:tblCellMar>
        </w:tblPrEx>
        <w:trPr>
          <w:trHeight w:val="488"/>
          <w:jc w:val="left"/>
        </w:trPr>
        <w:tc>
          <w:tcPr>
            <w:tcW w:w="808" w:type="dxa"/>
            <w:vMerge/>
            <w:noWrap/>
            <w:vAlign w:val="center"/>
          </w:tcPr>
          <w:p/>
        </w:tc>
        <w:tc>
          <w:tcPr>
            <w:tcW w:w="1001" w:type="dxa"/>
            <w:vMerge/>
            <w:tcBorders>
              <w:top w:val="single" w:sz="4" w:space="0" w:color="auto"/>
              <w:left w:val="single" w:sz="4" w:space="0" w:color="auto"/>
              <w:right w:val="single" w:sz="4" w:space="0" w:color="auto"/>
            </w:tcBorders>
            <w:noWrap/>
            <w:vAlign w:val="center"/>
          </w:tcP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szCs w:val="21"/>
              </w:rPr>
            </w:pPr>
          </w:p>
        </w:tc>
        <w:tc>
          <w:tcPr>
            <w:tcW w:w="3749" w:type="dxa"/>
            <w:tcBorders>
              <w:top w:val="single" w:sz="4" w:space="0" w:color="auto"/>
              <w:left w:val="single" w:sz="4" w:space="0" w:color="auto"/>
              <w:right w:val="single" w:sz="4" w:space="0" w:color="auto"/>
            </w:tcBorders>
            <w:noWrap/>
          </w:tcPr>
          <w:p>
            <w:pPr>
              <w:spacing w:line="240" w:lineRule="atLeas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8</w:t>
            </w:r>
            <w:r>
              <w:rPr>
                <w:rFonts w:ascii="宋体" w:eastAsia="宋体" w:cs="宋体" w:hint="eastAsia"/>
                <w:kern w:val="2"/>
                <w:sz w:val="21"/>
                <w:szCs w:val="21"/>
              </w:rPr>
              <w:t>、设备零部件预防性替换</w:t>
            </w:r>
          </w:p>
          <w:p>
            <w:pPr>
              <w:spacing w:line="240" w:lineRule="atLeast"/>
              <w:ind w:firstLine="0"/>
              <w:rPr>
                <w:rFonts w:ascii="宋体" w:eastAsia="宋体" w:cs="宋体"/>
                <w:kern w:val="2"/>
                <w:sz w:val="21"/>
                <w:szCs w:val="21"/>
              </w:rPr>
            </w:pPr>
            <w:r>
              <w:rPr>
                <w:rFonts w:ascii="宋体" w:eastAsia="宋体" w:cs="宋体" w:hint="eastAsia"/>
                <w:kern w:val="2"/>
                <w:sz w:val="21"/>
                <w:szCs w:val="21"/>
              </w:rPr>
              <w:t>投标人需关注零部件的运行状态，及时进行有计划的替换工作，保证设备长期稳定运行。</w:t>
            </w:r>
          </w:p>
        </w:tc>
        <w:tc>
          <w:tcPr>
            <w:tcW w:w="1685" w:type="dxa"/>
            <w:noWrap/>
            <w:vAlign w:val="center"/>
          </w:tcPr>
          <w:p>
            <w:pPr>
              <w:autoSpaceDN w:val="0"/>
              <w:spacing w:line="240" w:lineRule="auto"/>
              <w:ind w:firstLine="0"/>
              <w:rPr>
                <w:rFonts w:ascii="Times New Roman" w:eastAsia="宋体" w:hAnsi="Times New Roman" w:cs="Times New Roman"/>
                <w:kern w:val="2"/>
                <w:sz w:val="21"/>
              </w:rPr>
            </w:pPr>
            <w:r>
              <w:rPr>
                <w:rFonts w:ascii="宋体" w:eastAsia="宋体" w:cs="Times New Roman" w:hint="eastAsia"/>
                <w:kern w:val="2"/>
                <w:sz w:val="21"/>
                <w:szCs w:val="21"/>
              </w:rPr>
              <w:t>否</w:t>
            </w:r>
          </w:p>
          <w:p>
            <w:pPr>
              <w:spacing w:line="240" w:lineRule="atLeast"/>
              <w:ind w:firstLine="0"/>
              <w:rPr>
                <w:rFonts w:ascii="宋体" w:eastAsia="宋体" w:cs="Times New Roman"/>
                <w:kern w:val="2"/>
                <w:sz w:val="21"/>
              </w:rPr>
            </w:pPr>
          </w:p>
        </w:tc>
      </w:tr>
      <w:tr>
        <w:tblPrEx>
          <w:tblW w:w="8519" w:type="dxa"/>
          <w:jc w:val="left"/>
          <w:tblInd w:w="0" w:type="dxa"/>
          <w:tblLayout w:type="fixed"/>
          <w:tblCellMar>
            <w:top w:w="0" w:type="dxa"/>
            <w:left w:w="108" w:type="dxa"/>
            <w:bottom w:w="0" w:type="dxa"/>
            <w:right w:w="108" w:type="dxa"/>
          </w:tblCellMar>
        </w:tblPrEx>
        <w:trPr>
          <w:trHeight w:val="488"/>
          <w:jc w:val="left"/>
        </w:trPr>
        <w:tc>
          <w:tcPr>
            <w:tcW w:w="808" w:type="dxa"/>
            <w:vMerge/>
            <w:noWrap/>
            <w:vAlign w:val="center"/>
          </w:tcPr>
          <w:p/>
        </w:tc>
        <w:tc>
          <w:tcPr>
            <w:tcW w:w="1001" w:type="dxa"/>
            <w:vMerge/>
            <w:tcBorders>
              <w:top w:val="single" w:sz="4" w:space="0" w:color="auto"/>
              <w:left w:val="single" w:sz="4" w:space="0" w:color="auto"/>
              <w:right w:val="single" w:sz="4" w:space="0" w:color="auto"/>
            </w:tcBorders>
            <w:noWrap/>
            <w:vAlign w:val="center"/>
          </w:tcP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szCs w:val="21"/>
              </w:rPr>
            </w:pPr>
          </w:p>
        </w:tc>
        <w:tc>
          <w:tcPr>
            <w:tcW w:w="3749" w:type="dxa"/>
            <w:tcBorders>
              <w:top w:val="single" w:sz="4" w:space="0" w:color="auto"/>
              <w:left w:val="single" w:sz="4" w:space="0" w:color="auto"/>
              <w:right w:val="single" w:sz="4" w:space="0" w:color="auto"/>
            </w:tcBorders>
            <w:noWrap/>
          </w:tcPr>
          <w:p>
            <w:pPr>
              <w:spacing w:line="240" w:lineRule="atLeast"/>
              <w:ind w:firstLine="0"/>
              <w:rPr>
                <w:rFonts w:ascii="宋体" w:eastAsia="宋体" w:cs="宋体"/>
                <w:kern w:val="2"/>
                <w:sz w:val="21"/>
                <w:szCs w:val="21"/>
              </w:rPr>
            </w:pPr>
            <w:r>
              <w:rPr>
                <w:rFonts w:ascii="宋体" w:eastAsia="宋体" w:cs="宋体" w:hint="eastAsia"/>
                <w:kern w:val="2"/>
                <w:sz w:val="21"/>
                <w:szCs w:val="21"/>
              </w:rPr>
              <w:t>9、易损件更换</w:t>
            </w:r>
          </w:p>
          <w:p>
            <w:pPr>
              <w:spacing w:line="240" w:lineRule="atLeast"/>
              <w:ind w:firstLine="0"/>
              <w:rPr>
                <w:rFonts w:ascii="宋体" w:eastAsia="宋体" w:cs="Times New Roman"/>
                <w:b/>
                <w:kern w:val="2"/>
                <w:sz w:val="21"/>
                <w:szCs w:val="21"/>
              </w:rPr>
            </w:pPr>
            <w:r>
              <w:rPr>
                <w:rFonts w:ascii="宋体" w:eastAsia="宋体" w:cs="宋体" w:hint="eastAsia"/>
                <w:kern w:val="2"/>
                <w:sz w:val="21"/>
                <w:szCs w:val="21"/>
              </w:rPr>
              <w:t>投标人需结合设备预检结果，按计划对易损件进行更换，易损件清单详见附件</w:t>
            </w:r>
            <w:r>
              <w:rPr>
                <w:rFonts w:ascii="宋体" w:eastAsia="宋体" w:cs="宋体"/>
                <w:kern w:val="2"/>
                <w:sz w:val="21"/>
                <w:szCs w:val="21"/>
              </w:rPr>
              <w:t>8</w:t>
            </w:r>
            <w:r>
              <w:rPr>
                <w:rFonts w:ascii="宋体" w:eastAsia="宋体" w:cs="宋体" w:hint="eastAsia"/>
                <w:kern w:val="2"/>
                <w:sz w:val="21"/>
                <w:szCs w:val="21"/>
              </w:rPr>
              <w:t>《常规备件及易损件清单》。</w:t>
            </w:r>
          </w:p>
        </w:tc>
        <w:tc>
          <w:tcPr>
            <w:tcW w:w="1685" w:type="dxa"/>
            <w:noWrap/>
            <w:vAlign w:val="center"/>
          </w:tcPr>
          <w:p>
            <w:pPr>
              <w:autoSpaceDN w:val="0"/>
              <w:spacing w:line="240" w:lineRule="auto"/>
              <w:ind w:firstLine="0"/>
              <w:rPr>
                <w:rFonts w:ascii="Times New Roman" w:eastAsia="宋体" w:hAnsi="Times New Roman" w:cs="Times New Roman"/>
                <w:kern w:val="2"/>
                <w:sz w:val="21"/>
              </w:rPr>
            </w:pPr>
            <w:r>
              <w:rPr>
                <w:rFonts w:ascii="宋体" w:eastAsia="宋体" w:cs="Times New Roman" w:hint="eastAsia"/>
                <w:kern w:val="2"/>
                <w:sz w:val="21"/>
                <w:szCs w:val="21"/>
              </w:rPr>
              <w:t>否</w:t>
            </w:r>
          </w:p>
          <w:p>
            <w:pPr>
              <w:spacing w:line="240" w:lineRule="atLeast"/>
              <w:ind w:firstLine="0"/>
              <w:rPr>
                <w:rFonts w:ascii="宋体" w:eastAsia="宋体" w:cs="Times New Roman"/>
                <w:kern w:val="2"/>
                <w:sz w:val="21"/>
              </w:rPr>
            </w:pPr>
          </w:p>
        </w:tc>
      </w:tr>
      <w:tr>
        <w:tblPrEx>
          <w:tblW w:w="8519" w:type="dxa"/>
          <w:jc w:val="left"/>
          <w:tblInd w:w="0" w:type="dxa"/>
          <w:tblLayout w:type="fixed"/>
          <w:tblCellMar>
            <w:top w:w="0" w:type="dxa"/>
            <w:left w:w="108" w:type="dxa"/>
            <w:bottom w:w="0" w:type="dxa"/>
            <w:right w:w="108" w:type="dxa"/>
          </w:tblCellMar>
        </w:tblPrEx>
        <w:trPr>
          <w:trHeight w:val="488"/>
          <w:jc w:val="left"/>
        </w:trPr>
        <w:tc>
          <w:tcPr>
            <w:tcW w:w="808" w:type="dxa"/>
            <w:vMerge/>
            <w:noWrap/>
            <w:vAlign w:val="center"/>
          </w:tcPr>
          <w:p/>
        </w:tc>
        <w:tc>
          <w:tcPr>
            <w:tcW w:w="1001" w:type="dxa"/>
            <w:vMerge/>
            <w:tcBorders>
              <w:top w:val="single" w:sz="4" w:space="0" w:color="auto"/>
              <w:left w:val="single" w:sz="4" w:space="0" w:color="auto"/>
              <w:right w:val="single" w:sz="4" w:space="0" w:color="auto"/>
            </w:tcBorders>
            <w:noWrap/>
            <w:vAlign w:val="center"/>
          </w:tcP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szCs w:val="21"/>
              </w:rPr>
            </w:pPr>
          </w:p>
        </w:tc>
        <w:tc>
          <w:tcPr>
            <w:tcW w:w="3749" w:type="dxa"/>
            <w:tcBorders>
              <w:top w:val="single" w:sz="4" w:space="0" w:color="auto"/>
              <w:left w:val="single" w:sz="4" w:space="0" w:color="auto"/>
              <w:right w:val="single" w:sz="4" w:space="0" w:color="auto"/>
            </w:tcBorders>
            <w:noWrap/>
          </w:tcPr>
          <w:p>
            <w:pPr>
              <w:spacing w:line="240" w:lineRule="atLeast"/>
              <w:ind w:firstLine="0"/>
              <w:rPr>
                <w:rFonts w:ascii="宋体" w:eastAsia="宋体" w:cs="Times New Roman"/>
                <w:b/>
                <w:kern w:val="2"/>
                <w:sz w:val="21"/>
                <w:szCs w:val="21"/>
              </w:rPr>
            </w:pPr>
            <w:r>
              <w:rPr>
                <w:rFonts w:ascii="宋体" w:eastAsia="宋体" w:cs="Times New Roman" w:hint="eastAsia"/>
                <w:b/>
                <w:kern w:val="2"/>
                <w:sz w:val="21"/>
                <w:szCs w:val="21"/>
              </w:rPr>
              <w:t>辐射检测服务要求</w:t>
            </w:r>
          </w:p>
          <w:p>
            <w:pPr>
              <w:spacing w:line="240" w:lineRule="atLeast"/>
              <w:ind w:firstLine="0"/>
              <w:rPr>
                <w:rFonts w:ascii="宋体" w:eastAsia="宋体" w:cs="Times New Roman"/>
                <w:kern w:val="2"/>
                <w:sz w:val="21"/>
                <w:szCs w:val="21"/>
              </w:rPr>
            </w:pPr>
            <w:r>
              <w:rPr>
                <w:rFonts w:ascii="宋体" w:eastAsia="宋体" w:cs="Times New Roman"/>
                <w:kern w:val="2"/>
                <w:sz w:val="21"/>
                <w:szCs w:val="21"/>
              </w:rPr>
              <w:t>1</w:t>
            </w:r>
            <w:r>
              <w:rPr>
                <w:rFonts w:ascii="宋体" w:eastAsia="宋体" w:cs="宋体" w:hint="eastAsia"/>
                <w:kern w:val="2"/>
                <w:sz w:val="21"/>
                <w:szCs w:val="21"/>
              </w:rPr>
              <w:t>、总体要求</w:t>
            </w:r>
            <w:r>
              <w:rPr>
                <w:rFonts w:ascii="宋体" w:eastAsia="宋体" w:cs="Times New Roman"/>
                <w:kern w:val="2"/>
                <w:sz w:val="21"/>
                <w:szCs w:val="21"/>
              </w:rPr>
              <w:t xml:space="preserve"> </w:t>
            </w:r>
          </w:p>
          <w:p>
            <w:pPr>
              <w:spacing w:line="240" w:lineRule="atLeast"/>
              <w:ind w:firstLine="0"/>
              <w:rPr>
                <w:rFonts w:ascii="宋体" w:eastAsia="宋体" w:cs="Times New Roman"/>
                <w:kern w:val="2"/>
                <w:sz w:val="21"/>
                <w:szCs w:val="21"/>
              </w:rPr>
            </w:pPr>
            <w:r>
              <w:rPr>
                <w:rFonts w:ascii="宋体" w:eastAsia="宋体" w:cs="Times New Roman"/>
                <w:kern w:val="2"/>
                <w:sz w:val="21"/>
                <w:szCs w:val="21"/>
              </w:rPr>
              <w:t>H986</w:t>
            </w:r>
            <w:r>
              <w:rPr>
                <w:rFonts w:ascii="宋体" w:eastAsia="宋体" w:cs="宋体" w:hint="eastAsia"/>
                <w:kern w:val="2"/>
                <w:sz w:val="21"/>
                <w:szCs w:val="21"/>
              </w:rPr>
              <w:t>系统属于</w:t>
            </w:r>
            <w:r>
              <w:rPr>
                <w:rFonts w:ascii="宋体" w:eastAsia="宋体" w:cs="Times New Roman"/>
                <w:kern w:val="2"/>
                <w:sz w:val="21"/>
                <w:szCs w:val="21"/>
              </w:rPr>
              <w:t>II</w:t>
            </w:r>
            <w:r>
              <w:rPr>
                <w:rFonts w:ascii="宋体" w:eastAsia="宋体" w:cs="宋体" w:hint="eastAsia"/>
                <w:kern w:val="2"/>
                <w:sz w:val="21"/>
                <w:szCs w:val="21"/>
              </w:rPr>
              <w:t>类射线装置，生态环境部门针对</w:t>
            </w:r>
            <w:r>
              <w:rPr>
                <w:rFonts w:ascii="宋体" w:eastAsia="宋体" w:cs="Times New Roman"/>
                <w:kern w:val="2"/>
                <w:sz w:val="21"/>
                <w:szCs w:val="21"/>
              </w:rPr>
              <w:t>II</w:t>
            </w:r>
            <w:r>
              <w:rPr>
                <w:rFonts w:ascii="宋体" w:eastAsia="宋体" w:cs="宋体" w:hint="eastAsia"/>
                <w:kern w:val="2"/>
                <w:sz w:val="21"/>
                <w:szCs w:val="21"/>
              </w:rPr>
              <w:t>类射线装置的使用有专门的管理办法和要求。投标人需协助配合现场辐射检测检查、完善相应管理制度、办理辐射安全许可证相关业务等。</w:t>
            </w:r>
          </w:p>
        </w:tc>
        <w:tc>
          <w:tcPr>
            <w:tcW w:w="1685" w:type="dxa"/>
            <w:noWrap/>
            <w:vAlign w:val="bottom"/>
          </w:tcPr>
          <w:p>
            <w:pPr>
              <w:autoSpaceDN w:val="0"/>
              <w:spacing w:line="240" w:lineRule="auto"/>
              <w:ind w:firstLine="0"/>
              <w:rPr>
                <w:rFonts w:ascii="Times New Roman" w:eastAsia="宋体" w:hAnsi="Times New Roman" w:cs="Times New Roman"/>
                <w:kern w:val="2"/>
                <w:sz w:val="21"/>
              </w:rPr>
            </w:pPr>
            <w:r>
              <w:rPr>
                <w:rFonts w:ascii="宋体" w:eastAsia="宋体" w:cs="Times New Roman" w:hint="eastAsia"/>
                <w:kern w:val="2"/>
                <w:sz w:val="21"/>
                <w:szCs w:val="21"/>
              </w:rPr>
              <w:t>否</w:t>
            </w:r>
          </w:p>
          <w:p>
            <w:pPr>
              <w:spacing w:line="240" w:lineRule="atLeast"/>
              <w:ind w:firstLine="0"/>
              <w:rPr>
                <w:rFonts w:ascii="宋体" w:eastAsia="宋体" w:cs="Times New Roman"/>
                <w:kern w:val="2"/>
                <w:sz w:val="21"/>
              </w:rPr>
            </w:pPr>
          </w:p>
        </w:tc>
      </w:tr>
      <w:tr>
        <w:tblPrEx>
          <w:tblW w:w="8519" w:type="dxa"/>
          <w:jc w:val="left"/>
          <w:tblInd w:w="0" w:type="dxa"/>
          <w:tblLayout w:type="fixed"/>
          <w:tblCellMar>
            <w:top w:w="0" w:type="dxa"/>
            <w:left w:w="108" w:type="dxa"/>
            <w:bottom w:w="0" w:type="dxa"/>
            <w:right w:w="108" w:type="dxa"/>
          </w:tblCellMar>
        </w:tblPrEx>
        <w:trPr>
          <w:trHeight w:val="488"/>
          <w:jc w:val="left"/>
        </w:trPr>
        <w:tc>
          <w:tcPr>
            <w:tcW w:w="808" w:type="dxa"/>
            <w:vMerge/>
            <w:noWrap/>
            <w:vAlign w:val="center"/>
          </w:tcPr>
          <w:p/>
        </w:tc>
        <w:tc>
          <w:tcPr>
            <w:tcW w:w="1001" w:type="dxa"/>
            <w:vMerge/>
            <w:tcBorders>
              <w:top w:val="single" w:sz="4" w:space="0" w:color="auto"/>
              <w:left w:val="single" w:sz="4" w:space="0" w:color="auto"/>
              <w:right w:val="single" w:sz="4" w:space="0" w:color="auto"/>
            </w:tcBorders>
            <w:noWrap/>
            <w:vAlign w:val="center"/>
          </w:tcP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szCs w:val="21"/>
              </w:rPr>
            </w:pPr>
            <w:r>
              <w:rPr>
                <w:rFonts w:ascii="宋体" w:eastAsia="宋体" w:cs="Times New Roman" w:hint="eastAsia"/>
                <w:kern w:val="2"/>
                <w:sz w:val="21"/>
                <w:szCs w:val="21"/>
              </w:rPr>
              <w:t>▲</w:t>
            </w:r>
          </w:p>
        </w:tc>
        <w:tc>
          <w:tcPr>
            <w:tcW w:w="3749" w:type="dxa"/>
            <w:tcBorders>
              <w:top w:val="single" w:sz="4" w:space="0" w:color="auto"/>
              <w:left w:val="single" w:sz="4" w:space="0" w:color="auto"/>
              <w:right w:val="single" w:sz="4" w:space="0" w:color="auto"/>
            </w:tcBorders>
            <w:noWrap/>
          </w:tcPr>
          <w:p>
            <w:pPr>
              <w:autoSpaceDN w:val="0"/>
              <w:spacing w:line="240" w:lineRule="atLeast"/>
              <w:ind w:firstLine="0"/>
              <w:rPr>
                <w:rFonts w:ascii="Times New Roman" w:eastAsia="宋体" w:hAnsi="Times New Roman" w:cs="Times New Roman"/>
                <w:kern w:val="2"/>
                <w:sz w:val="21"/>
              </w:rPr>
            </w:pPr>
            <w:r>
              <w:rPr>
                <w:rFonts w:ascii="宋体" w:eastAsia="宋体" w:cs="Times New Roman"/>
                <w:kern w:val="2"/>
                <w:sz w:val="21"/>
                <w:szCs w:val="21"/>
              </w:rPr>
              <w:t>2</w:t>
            </w:r>
            <w:r>
              <w:rPr>
                <w:rFonts w:ascii="宋体" w:eastAsia="宋体" w:cs="宋体" w:hint="eastAsia"/>
                <w:kern w:val="2"/>
                <w:sz w:val="21"/>
                <w:szCs w:val="21"/>
              </w:rPr>
              <w:t>、</w:t>
            </w:r>
            <w:r>
              <w:rPr>
                <w:rFonts w:ascii="宋体" w:eastAsia="宋体" w:cs="Times New Roman" w:hint="eastAsia"/>
                <w:kern w:val="2"/>
                <w:sz w:val="21"/>
                <w:szCs w:val="21"/>
              </w:rPr>
              <w:t>▲</w:t>
            </w:r>
            <w:r>
              <w:rPr>
                <w:rFonts w:ascii="宋体" w:eastAsia="宋体" w:cs="宋体" w:hint="eastAsia"/>
                <w:kern w:val="2"/>
                <w:sz w:val="21"/>
                <w:szCs w:val="21"/>
              </w:rPr>
              <w:t>现场辐射安全检测要求</w:t>
            </w:r>
          </w:p>
          <w:p>
            <w:pPr>
              <w:spacing w:line="240" w:lineRule="atLeast"/>
              <w:ind w:firstLine="0"/>
              <w:rPr>
                <w:rFonts w:ascii="宋体" w:eastAsia="宋体" w:cs="Times New Roman"/>
                <w:kern w:val="2"/>
                <w:sz w:val="21"/>
                <w:szCs w:val="21"/>
              </w:rPr>
            </w:pPr>
            <w:r>
              <w:rPr>
                <w:rFonts w:ascii="宋体" w:eastAsia="宋体" w:cs="宋体" w:hint="eastAsia"/>
                <w:kern w:val="2"/>
                <w:sz w:val="21"/>
                <w:szCs w:val="21"/>
              </w:rPr>
              <w:t>设备半年度</w:t>
            </w:r>
            <w:r>
              <w:rPr>
                <w:rFonts w:ascii="宋体" w:eastAsia="宋体" w:cs="Times New Roman"/>
                <w:kern w:val="2"/>
                <w:sz w:val="21"/>
                <w:szCs w:val="21"/>
              </w:rPr>
              <w:t>/</w:t>
            </w:r>
            <w:r>
              <w:rPr>
                <w:rFonts w:ascii="宋体" w:eastAsia="宋体" w:cs="宋体" w:hint="eastAsia"/>
                <w:kern w:val="2"/>
                <w:sz w:val="21"/>
                <w:szCs w:val="21"/>
              </w:rPr>
              <w:t>年度保养完成后投标人需开展设备周边环境剂量检测，并提供《设备环境剂量率检测报告》。运维周期内，随时配合使用单位对设备周边环境剂量进行检测和个人剂量监测。</w:t>
            </w:r>
          </w:p>
        </w:tc>
        <w:tc>
          <w:tcPr>
            <w:tcW w:w="1685" w:type="dxa"/>
            <w:noWrap/>
            <w:vAlign w:val="center"/>
          </w:tcPr>
          <w:p>
            <w:pPr>
              <w:autoSpaceDN w:val="0"/>
              <w:spacing w:line="240" w:lineRule="auto"/>
              <w:ind w:firstLine="0"/>
              <w:jc w:val="left"/>
              <w:rPr>
                <w:rFonts w:ascii="Times New Roman" w:eastAsia="宋体" w:hAnsi="Times New Roman" w:cs="Times New Roman"/>
                <w:kern w:val="2"/>
                <w:sz w:val="21"/>
              </w:rPr>
            </w:pPr>
            <w:r>
              <w:rPr>
                <w:rFonts w:ascii="宋体" w:eastAsia="宋体" w:cs="Times New Roman" w:hint="eastAsia"/>
                <w:kern w:val="2"/>
                <w:sz w:val="21"/>
                <w:szCs w:val="21"/>
              </w:rPr>
              <w:t>否</w:t>
            </w:r>
          </w:p>
          <w:p>
            <w:pPr>
              <w:spacing w:line="240" w:lineRule="atLeast"/>
              <w:ind w:firstLine="0"/>
              <w:jc w:val="left"/>
              <w:rPr>
                <w:rFonts w:ascii="宋体" w:eastAsia="宋体" w:cs="Times New Roman"/>
                <w:kern w:val="2"/>
                <w:sz w:val="21"/>
              </w:rPr>
            </w:pPr>
          </w:p>
        </w:tc>
      </w:tr>
      <w:tr>
        <w:tblPrEx>
          <w:tblW w:w="8519" w:type="dxa"/>
          <w:jc w:val="left"/>
          <w:tblInd w:w="0" w:type="dxa"/>
          <w:tblLayout w:type="fixed"/>
          <w:tblCellMar>
            <w:top w:w="0" w:type="dxa"/>
            <w:left w:w="108" w:type="dxa"/>
            <w:bottom w:w="0" w:type="dxa"/>
            <w:right w:w="108" w:type="dxa"/>
          </w:tblCellMar>
        </w:tblPrEx>
        <w:trPr>
          <w:trHeight w:val="488"/>
          <w:jc w:val="left"/>
        </w:trPr>
        <w:tc>
          <w:tcPr>
            <w:tcW w:w="808" w:type="dxa"/>
            <w:vMerge/>
            <w:noWrap/>
            <w:vAlign w:val="center"/>
          </w:tcPr>
          <w:p/>
        </w:tc>
        <w:tc>
          <w:tcPr>
            <w:tcW w:w="1001" w:type="dxa"/>
            <w:vMerge/>
            <w:tcBorders>
              <w:top w:val="single" w:sz="4" w:space="0" w:color="auto"/>
              <w:left w:val="single" w:sz="4" w:space="0" w:color="auto"/>
              <w:right w:val="single" w:sz="4" w:space="0" w:color="auto"/>
            </w:tcBorders>
            <w:noWrap/>
            <w:vAlign w:val="center"/>
          </w:tcPr>
          <w:p/>
        </w:tc>
        <w:tc>
          <w:tcPr>
            <w:tcW w:w="1276" w:type="dxa"/>
            <w:tcBorders>
              <w:top w:val="single" w:sz="4" w:space="0" w:color="auto"/>
              <w:left w:val="single" w:sz="4" w:space="0" w:color="auto"/>
              <w:right w:val="single" w:sz="4" w:space="0" w:color="auto"/>
            </w:tcBorders>
            <w:noWrap/>
            <w:vAlign w:val="center"/>
          </w:tcPr>
          <w:p>
            <w:pPr>
              <w:autoSpaceDN w:val="0"/>
              <w:spacing w:line="240" w:lineRule="auto"/>
              <w:ind w:firstLine="0"/>
              <w:jc w:val="center"/>
              <w:rPr>
                <w:rFonts w:ascii="Times New Roman" w:eastAsia="宋体" w:hAnsi="Times New Roman" w:cs="Times New Roman"/>
                <w:kern w:val="2"/>
                <w:sz w:val="21"/>
              </w:rPr>
            </w:pPr>
            <w:r>
              <w:rPr>
                <w:rFonts w:ascii="宋体" w:eastAsia="宋体" w:cs="宋体" w:hint="eastAsia"/>
                <w:kern w:val="2"/>
                <w:sz w:val="21"/>
                <w:szCs w:val="21"/>
              </w:rPr>
              <w:t>★</w:t>
            </w:r>
          </w:p>
        </w:tc>
        <w:tc>
          <w:tcPr>
            <w:tcW w:w="3749" w:type="dxa"/>
            <w:tcBorders>
              <w:top w:val="single" w:sz="4" w:space="0" w:color="auto"/>
              <w:left w:val="single" w:sz="4" w:space="0" w:color="auto"/>
              <w:right w:val="single" w:sz="4" w:space="0" w:color="auto"/>
            </w:tcBorders>
            <w:noWrap/>
          </w:tcPr>
          <w:p>
            <w:pPr>
              <w:spacing w:line="240" w:lineRule="atLeast"/>
              <w:ind w:firstLine="0"/>
              <w:rPr>
                <w:rFonts w:ascii="宋体" w:eastAsia="宋体" w:cs="Times New Roman"/>
                <w:kern w:val="2"/>
                <w:sz w:val="21"/>
                <w:szCs w:val="21"/>
              </w:rPr>
            </w:pPr>
            <w:r>
              <w:rPr>
                <w:rFonts w:ascii="宋体" w:eastAsia="宋体" w:cs="Times New Roman"/>
                <w:kern w:val="2"/>
                <w:sz w:val="21"/>
                <w:szCs w:val="21"/>
              </w:rPr>
              <w:t>3</w:t>
            </w:r>
            <w:r>
              <w:rPr>
                <w:rFonts w:ascii="宋体" w:eastAsia="宋体" w:cs="宋体" w:hint="eastAsia"/>
                <w:kern w:val="2"/>
                <w:sz w:val="21"/>
                <w:szCs w:val="21"/>
              </w:rPr>
              <w:t>、★配合管理部门辐射安全检查要求</w:t>
            </w:r>
          </w:p>
          <w:p>
            <w:pPr>
              <w:spacing w:line="240" w:lineRule="atLeast"/>
              <w:ind w:firstLine="0"/>
              <w:rPr>
                <w:rFonts w:ascii="宋体" w:eastAsia="宋体" w:cs="Times New Roman"/>
                <w:kern w:val="2"/>
                <w:sz w:val="21"/>
                <w:szCs w:val="21"/>
              </w:rPr>
            </w:pPr>
            <w:r>
              <w:rPr>
                <w:rFonts w:ascii="宋体" w:eastAsia="宋体" w:cs="宋体" w:hint="eastAsia"/>
                <w:kern w:val="2"/>
                <w:sz w:val="21"/>
                <w:szCs w:val="21"/>
              </w:rPr>
              <w:t>投标人需协助设备使用单位完成当地生态环境部门的辐射安全检查，配合使用单位完善相关规章制度。</w:t>
            </w:r>
          </w:p>
        </w:tc>
        <w:tc>
          <w:tcPr>
            <w:tcW w:w="1685" w:type="dxa"/>
            <w:noWrap/>
            <w:vAlign w:val="center"/>
          </w:tcPr>
          <w:p>
            <w:pPr>
              <w:autoSpaceDN w:val="0"/>
              <w:spacing w:line="240" w:lineRule="exact"/>
              <w:ind w:firstLine="0"/>
              <w:jc w:val="left"/>
              <w:rPr>
                <w:rFonts w:ascii="Times New Roman" w:eastAsia="宋体" w:hAnsi="Times New Roman" w:cs="Times New Roman"/>
                <w:kern w:val="2"/>
                <w:sz w:val="21"/>
              </w:rPr>
            </w:pPr>
            <w:r>
              <w:rPr>
                <w:rFonts w:ascii="宋体" w:eastAsia="宋体" w:cs="Times New Roman" w:hint="eastAsia"/>
                <w:kern w:val="2"/>
                <w:sz w:val="21"/>
                <w:szCs w:val="21"/>
              </w:rPr>
              <w:t>提供加盖投标人公章的承诺书</w:t>
            </w:r>
          </w:p>
        </w:tc>
      </w:tr>
      <w:tr>
        <w:tblPrEx>
          <w:tblW w:w="8519" w:type="dxa"/>
          <w:jc w:val="left"/>
          <w:tblInd w:w="0" w:type="dxa"/>
          <w:tblLayout w:type="fixed"/>
          <w:tblCellMar>
            <w:top w:w="0" w:type="dxa"/>
            <w:left w:w="108" w:type="dxa"/>
            <w:bottom w:w="0" w:type="dxa"/>
            <w:right w:w="108" w:type="dxa"/>
          </w:tblCellMar>
        </w:tblPrEx>
        <w:trPr>
          <w:trHeight w:val="488"/>
          <w:jc w:val="left"/>
        </w:trPr>
        <w:tc>
          <w:tcPr>
            <w:tcW w:w="808" w:type="dxa"/>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2</w:t>
            </w:r>
          </w:p>
        </w:tc>
        <w:tc>
          <w:tcPr>
            <w:tcW w:w="1001"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项目实施过程文档管理</w:t>
            </w: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tc>
        <w:tc>
          <w:tcPr>
            <w:tcW w:w="3749" w:type="dxa"/>
            <w:tcBorders>
              <w:top w:val="single" w:sz="4" w:space="0" w:color="auto"/>
              <w:left w:val="single" w:sz="4" w:space="0" w:color="auto"/>
              <w:right w:val="single" w:sz="4" w:space="0" w:color="auto"/>
            </w:tcBorders>
            <w:noWrap/>
            <w:vAlign w:val="center"/>
          </w:tcPr>
          <w:p>
            <w:pPr>
              <w:spacing w:line="240" w:lineRule="atLeast"/>
              <w:ind w:firstLine="0"/>
              <w:jc w:val="center"/>
              <w:rPr>
                <w:rFonts w:ascii="宋体" w:eastAsia="宋体" w:cs="Times New Roman"/>
                <w:kern w:val="2"/>
                <w:sz w:val="21"/>
              </w:rPr>
            </w:pPr>
            <w:r>
              <w:rPr>
                <w:rFonts w:ascii="宋体" w:eastAsia="宋体" w:cs="Times New Roman" w:hint="eastAsia"/>
                <w:kern w:val="2"/>
                <w:sz w:val="21"/>
                <w:szCs w:val="21"/>
              </w:rPr>
              <w:t>无</w:t>
            </w:r>
          </w:p>
        </w:tc>
        <w:tc>
          <w:tcPr>
            <w:tcW w:w="1685" w:type="dxa"/>
            <w:noWrap/>
            <w:vAlign w:val="center"/>
          </w:tcPr>
          <w:p>
            <w:pPr>
              <w:spacing w:line="240" w:lineRule="atLeast"/>
              <w:ind w:firstLine="0"/>
              <w:jc w:val="center"/>
              <w:rPr>
                <w:rFonts w:ascii="宋体" w:eastAsia="宋体" w:cs="Times New Roman"/>
                <w:kern w:val="2"/>
                <w:sz w:val="21"/>
                <w:szCs w:val="21"/>
              </w:rPr>
            </w:pPr>
            <w:r>
              <w:rPr>
                <w:rFonts w:ascii="宋体" w:eastAsia="宋体" w:cs="Times New Roman"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3</w:t>
            </w:r>
          </w:p>
        </w:tc>
        <w:tc>
          <w:tcPr>
            <w:tcW w:w="1001"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项目实施组织架构</w:t>
            </w: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tc>
        <w:tc>
          <w:tcPr>
            <w:tcW w:w="3749"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szCs w:val="21"/>
              </w:rPr>
              <w:t>无</w:t>
            </w:r>
          </w:p>
        </w:tc>
        <w:tc>
          <w:tcPr>
            <w:tcW w:w="1685" w:type="dxa"/>
            <w:noWrap/>
            <w:vAlign w:val="center"/>
          </w:tcPr>
          <w:p>
            <w:pPr>
              <w:spacing w:line="240" w:lineRule="atLeast"/>
              <w:ind w:firstLine="0"/>
              <w:jc w:val="center"/>
              <w:rPr>
                <w:rFonts w:ascii="宋体" w:eastAsia="宋体" w:cs="Times New Roman"/>
                <w:kern w:val="2"/>
                <w:sz w:val="21"/>
                <w:szCs w:val="21"/>
              </w:rPr>
            </w:pPr>
            <w:r>
              <w:rPr>
                <w:rFonts w:ascii="宋体" w:eastAsia="宋体" w:cs="Times New Roman"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983"/>
          <w:jc w:val="left"/>
        </w:trPr>
        <w:tc>
          <w:tcPr>
            <w:tcW w:w="808" w:type="dxa"/>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4</w:t>
            </w:r>
          </w:p>
        </w:tc>
        <w:tc>
          <w:tcPr>
            <w:tcW w:w="1001"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项目实施进度安排</w:t>
            </w: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tc>
        <w:tc>
          <w:tcPr>
            <w:tcW w:w="3749" w:type="dxa"/>
            <w:tcBorders>
              <w:top w:val="single" w:sz="4" w:space="0" w:color="auto"/>
              <w:left w:val="single" w:sz="4" w:space="0" w:color="auto"/>
              <w:right w:val="single" w:sz="4" w:space="0" w:color="auto"/>
            </w:tcBorders>
            <w:noWrap/>
          </w:tcPr>
          <w:p>
            <w:pPr>
              <w:autoSpaceDN w:val="0"/>
              <w:spacing w:line="240" w:lineRule="atLeast"/>
              <w:ind w:firstLine="0"/>
              <w:rPr>
                <w:rFonts w:ascii="宋体" w:eastAsia="宋体" w:cs="Times New Roman"/>
                <w:kern w:val="2"/>
                <w:sz w:val="21"/>
                <w:szCs w:val="21"/>
              </w:rPr>
            </w:pPr>
            <w:r>
              <w:rPr>
                <w:rFonts w:ascii="宋体" w:eastAsia="宋体" w:cs="Times New Roman" w:hint="eastAsia"/>
                <w:kern w:val="2"/>
                <w:sz w:val="21"/>
                <w:szCs w:val="21"/>
              </w:rPr>
              <w:t>投标人根据附件1《设备明细表》对设备开展</w:t>
            </w:r>
            <w:r>
              <w:rPr>
                <w:rFonts w:ascii="宋体" w:eastAsia="宋体" w:cs="Times New Roman" w:hint="eastAsia"/>
                <w:bCs/>
                <w:kern w:val="2"/>
                <w:sz w:val="20"/>
                <w:szCs w:val="20"/>
              </w:rPr>
              <w:t>2025年度运维起止时间内</w:t>
            </w:r>
            <w:r>
              <w:rPr>
                <w:rFonts w:ascii="宋体" w:eastAsia="宋体" w:cs="Times New Roman" w:hint="eastAsia"/>
                <w:kern w:val="2"/>
                <w:sz w:val="21"/>
                <w:szCs w:val="21"/>
              </w:rPr>
              <w:t>的运维服务</w:t>
            </w:r>
          </w:p>
        </w:tc>
        <w:tc>
          <w:tcPr>
            <w:tcW w:w="1685" w:type="dxa"/>
            <w:noWrap/>
            <w:vAlign w:val="center"/>
          </w:tcPr>
          <w:p>
            <w:pPr>
              <w:spacing w:line="240" w:lineRule="atLeast"/>
              <w:ind w:firstLine="0"/>
              <w:jc w:val="center"/>
              <w:rPr>
                <w:rFonts w:ascii="宋体" w:eastAsia="宋体" w:cs="Times New Roman"/>
                <w:kern w:val="2"/>
                <w:sz w:val="21"/>
              </w:rPr>
            </w:pPr>
            <w:r>
              <w:rPr>
                <w:rFonts w:ascii="宋体" w:eastAsia="宋体" w:cs="Times New Roman"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5</w:t>
            </w:r>
          </w:p>
        </w:tc>
        <w:tc>
          <w:tcPr>
            <w:tcW w:w="1001"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项目安装过程安排</w:t>
            </w: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tc>
        <w:tc>
          <w:tcPr>
            <w:tcW w:w="3749"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szCs w:val="21"/>
              </w:rPr>
              <w:t>无</w:t>
            </w:r>
          </w:p>
        </w:tc>
        <w:tc>
          <w:tcPr>
            <w:tcW w:w="1685" w:type="dxa"/>
            <w:noWrap/>
            <w:vAlign w:val="center"/>
          </w:tcPr>
          <w:p>
            <w:pPr>
              <w:spacing w:line="240" w:lineRule="auto"/>
              <w:ind w:firstLine="0"/>
              <w:jc w:val="center"/>
              <w:rPr>
                <w:rFonts w:ascii="宋体" w:eastAsia="宋体" w:cs="Times New Roman"/>
                <w:kern w:val="2"/>
                <w:sz w:val="21"/>
              </w:rPr>
            </w:pPr>
          </w:p>
        </w:tc>
      </w:tr>
      <w:tr>
        <w:tblPrEx>
          <w:tblW w:w="8519" w:type="dxa"/>
          <w:jc w:val="left"/>
          <w:tblInd w:w="0" w:type="dxa"/>
          <w:tblLayout w:type="fixed"/>
          <w:tblCellMar>
            <w:top w:w="0" w:type="dxa"/>
            <w:left w:w="108" w:type="dxa"/>
            <w:bottom w:w="0" w:type="dxa"/>
            <w:right w:w="108" w:type="dxa"/>
          </w:tblCellMar>
        </w:tblPrEx>
        <w:trPr>
          <w:trHeight w:val="828"/>
          <w:jc w:val="left"/>
        </w:trPr>
        <w:tc>
          <w:tcPr>
            <w:tcW w:w="808" w:type="dxa"/>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6</w:t>
            </w:r>
          </w:p>
        </w:tc>
        <w:tc>
          <w:tcPr>
            <w:tcW w:w="1001"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项目验收安排</w:t>
            </w: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tc>
        <w:tc>
          <w:tcPr>
            <w:tcW w:w="3749" w:type="dxa"/>
            <w:tcBorders>
              <w:top w:val="single" w:sz="4" w:space="0" w:color="auto"/>
              <w:left w:val="single" w:sz="4" w:space="0" w:color="auto"/>
              <w:right w:val="single" w:sz="4" w:space="0" w:color="auto"/>
            </w:tcBorders>
            <w:noWrap/>
          </w:tcPr>
          <w:p>
            <w:pPr>
              <w:spacing w:line="240" w:lineRule="exact"/>
              <w:ind w:firstLine="0"/>
              <w:rPr>
                <w:rFonts w:ascii="宋体" w:eastAsia="宋体" w:cs="Times New Roman"/>
                <w:kern w:val="2"/>
                <w:sz w:val="21"/>
              </w:rPr>
            </w:pPr>
            <w:r>
              <w:rPr>
                <w:rFonts w:ascii="宋体" w:eastAsia="宋体" w:cs="Times New Roman" w:hint="eastAsia"/>
                <w:kern w:val="2"/>
                <w:sz w:val="21"/>
                <w:szCs w:val="21"/>
              </w:rPr>
              <w:t>各H986设备使用单位与投标人确认签订</w:t>
            </w:r>
            <w:r>
              <w:rPr>
                <w:rFonts w:ascii="宋体" w:eastAsia="宋体" w:cs="Times New Roman"/>
                <w:kern w:val="2"/>
                <w:sz w:val="21"/>
                <w:szCs w:val="21"/>
              </w:rPr>
              <w:t>《设备年度技术服务报告》</w:t>
            </w:r>
            <w:r>
              <w:rPr>
                <w:rFonts w:ascii="宋体" w:eastAsia="宋体" w:cs="Times New Roman" w:hint="eastAsia"/>
                <w:kern w:val="2"/>
                <w:sz w:val="21"/>
                <w:szCs w:val="21"/>
              </w:rPr>
              <w:t>等文件</w:t>
            </w:r>
          </w:p>
        </w:tc>
        <w:tc>
          <w:tcPr>
            <w:tcW w:w="1685" w:type="dxa"/>
            <w:noWrap/>
            <w:vAlign w:val="center"/>
          </w:tcPr>
          <w:p>
            <w:pPr>
              <w:spacing w:line="240" w:lineRule="atLeast"/>
              <w:ind w:firstLine="0"/>
              <w:jc w:val="center"/>
              <w:rPr>
                <w:rFonts w:ascii="宋体" w:eastAsia="宋体" w:cs="Times New Roman"/>
                <w:kern w:val="2"/>
                <w:sz w:val="21"/>
              </w:rPr>
            </w:pPr>
            <w:r>
              <w:rPr>
                <w:rFonts w:ascii="宋体" w:eastAsia="宋体" w:cs="Times New Roman"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restart"/>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7</w:t>
            </w:r>
          </w:p>
        </w:tc>
        <w:tc>
          <w:tcPr>
            <w:tcW w:w="1001" w:type="dxa"/>
            <w:vMerge w:val="restart"/>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hint="eastAsia"/>
                <w:kern w:val="2"/>
                <w:sz w:val="21"/>
              </w:rPr>
              <w:t>项目培训安排</w:t>
            </w: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tc>
        <w:tc>
          <w:tcPr>
            <w:tcW w:w="3749" w:type="dxa"/>
            <w:tcBorders>
              <w:top w:val="single" w:sz="4" w:space="0" w:color="auto"/>
              <w:left w:val="single" w:sz="4" w:space="0" w:color="auto"/>
              <w:right w:val="single" w:sz="4" w:space="0" w:color="auto"/>
            </w:tcBorders>
            <w:noWrap/>
          </w:tcPr>
          <w:p>
            <w:pPr>
              <w:spacing w:line="240" w:lineRule="exact"/>
              <w:ind w:firstLine="0"/>
              <w:rPr>
                <w:rFonts w:ascii="Times New Roman" w:eastAsia="宋体" w:hAnsi="Times New Roman" w:cs="Times New Roman"/>
                <w:kern w:val="2"/>
                <w:sz w:val="21"/>
                <w:szCs w:val="21"/>
              </w:rPr>
            </w:pPr>
            <w:r>
              <w:rPr>
                <w:rFonts w:ascii="宋体" w:eastAsia="宋体" w:cs="Times New Roman" w:hint="eastAsia"/>
                <w:kern w:val="2"/>
                <w:sz w:val="21"/>
                <w:szCs w:val="21"/>
              </w:rPr>
              <w:t>培训服务要求</w:t>
            </w:r>
          </w:p>
          <w:p>
            <w:pPr>
              <w:spacing w:line="240" w:lineRule="exac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1</w:t>
            </w:r>
            <w:r>
              <w:rPr>
                <w:rFonts w:ascii="宋体" w:eastAsia="宋体" w:cs="Times New Roman" w:hint="eastAsia"/>
                <w:kern w:val="2"/>
                <w:sz w:val="21"/>
                <w:szCs w:val="21"/>
              </w:rPr>
              <w:t>、总体要求</w:t>
            </w:r>
          </w:p>
          <w:p>
            <w:pPr>
              <w:spacing w:line="240" w:lineRule="exac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 xml:space="preserve"> </w:t>
            </w:r>
            <w:r>
              <w:rPr>
                <w:rFonts w:ascii="宋体" w:eastAsia="宋体" w:cs="Times New Roman" w:hint="eastAsia"/>
                <w:kern w:val="2"/>
                <w:sz w:val="21"/>
                <w:szCs w:val="21"/>
              </w:rPr>
              <w:t>投标人需提供</w:t>
            </w:r>
            <w:r>
              <w:rPr>
                <w:rFonts w:ascii="Times New Roman" w:eastAsia="宋体" w:hAnsi="Times New Roman" w:cs="Times New Roman"/>
                <w:kern w:val="2"/>
                <w:sz w:val="21"/>
                <w:szCs w:val="21"/>
              </w:rPr>
              <w:t>H986</w:t>
            </w:r>
            <w:r>
              <w:rPr>
                <w:rFonts w:ascii="宋体" w:eastAsia="宋体" w:cs="Times New Roman" w:hint="eastAsia"/>
                <w:kern w:val="2"/>
                <w:sz w:val="21"/>
                <w:szCs w:val="21"/>
              </w:rPr>
              <w:t>设备的现场操作培训服务，并提供详细的培训方案。</w:t>
            </w:r>
          </w:p>
        </w:tc>
        <w:tc>
          <w:tcPr>
            <w:tcW w:w="1685" w:type="dxa"/>
            <w:noWrap/>
            <w:vAlign w:val="center"/>
          </w:tcPr>
          <w:p>
            <w:pPr>
              <w:spacing w:line="240" w:lineRule="atLeast"/>
              <w:ind w:firstLine="0"/>
              <w:jc w:val="center"/>
              <w:rPr>
                <w:rFonts w:ascii="宋体" w:eastAsia="宋体" w:cs="Times New Roman"/>
                <w:kern w:val="2"/>
                <w:sz w:val="21"/>
              </w:rPr>
            </w:pPr>
            <w:r>
              <w:rPr>
                <w:rFonts w:ascii="宋体" w:eastAsia="宋体" w:cs="Times New Roman"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1253"/>
          <w:jc w:val="left"/>
        </w:trPr>
        <w:tc>
          <w:tcPr>
            <w:tcW w:w="808" w:type="dxa"/>
            <w:vMerge/>
            <w:noWrap/>
            <w:vAlign w:val="center"/>
          </w:tcPr>
          <w:p/>
        </w:tc>
        <w:tc>
          <w:tcPr>
            <w:tcW w:w="1001" w:type="dxa"/>
            <w:vMerge/>
            <w:tcBorders>
              <w:top w:val="single" w:sz="4" w:space="0" w:color="auto"/>
              <w:left w:val="single" w:sz="4" w:space="0" w:color="auto"/>
              <w:right w:val="single" w:sz="4" w:space="0" w:color="auto"/>
            </w:tcBorders>
            <w:noWrap/>
            <w:vAlign w:val="center"/>
          </w:tcPr>
          <w:p/>
        </w:tc>
        <w:tc>
          <w:tcPr>
            <w:tcW w:w="1276" w:type="dxa"/>
            <w:tcBorders>
              <w:top w:val="single" w:sz="4" w:space="0" w:color="auto"/>
              <w:left w:val="single" w:sz="4" w:space="0" w:color="auto"/>
              <w:right w:val="single" w:sz="4" w:space="0" w:color="auto"/>
            </w:tcBorders>
            <w:noWrap/>
            <w:vAlign w:val="center"/>
          </w:tcPr>
          <w:p>
            <w:pPr>
              <w:ind w:firstLine="0"/>
              <w:jc w:val="center"/>
              <w:rPr>
                <w:rFonts w:ascii="宋体" w:eastAsia="宋体"/>
              </w:rPr>
            </w:pPr>
          </w:p>
        </w:tc>
        <w:tc>
          <w:tcPr>
            <w:tcW w:w="3749" w:type="dxa"/>
            <w:tcBorders>
              <w:top w:val="single" w:sz="4" w:space="0" w:color="auto"/>
              <w:left w:val="single" w:sz="4" w:space="0" w:color="auto"/>
              <w:right w:val="single" w:sz="4" w:space="0" w:color="auto"/>
            </w:tcBorders>
            <w:noWrap/>
            <w:vAlign w:val="center"/>
          </w:tcPr>
          <w:p>
            <w:pPr>
              <w:spacing w:line="240" w:lineRule="exact"/>
              <w:ind w:firstLine="0"/>
              <w:rPr>
                <w:rFonts w:ascii="Times New Roman" w:eastAsia="宋体" w:hAnsi="Times New Roman" w:cs="Times New Roman"/>
                <w:kern w:val="2"/>
                <w:sz w:val="21"/>
                <w:szCs w:val="21"/>
              </w:rPr>
            </w:pPr>
            <w:r>
              <w:rPr>
                <w:rFonts w:ascii="Times New Roman" w:eastAsia="宋体" w:hAnsi="Times New Roman" w:cs="Times New Roman"/>
                <w:kern w:val="2"/>
                <w:sz w:val="21"/>
                <w:szCs w:val="21"/>
              </w:rPr>
              <w:t>2</w:t>
            </w:r>
            <w:r>
              <w:rPr>
                <w:rFonts w:ascii="宋体" w:eastAsia="宋体" w:cs="Times New Roman" w:hint="eastAsia"/>
                <w:kern w:val="2"/>
                <w:sz w:val="21"/>
                <w:szCs w:val="21"/>
              </w:rPr>
              <w:t>、现场操作培训要求</w:t>
            </w:r>
          </w:p>
          <w:p>
            <w:pPr>
              <w:spacing w:line="240" w:lineRule="exact"/>
              <w:ind w:firstLine="0"/>
              <w:rPr>
                <w:rFonts w:ascii="Times New Roman" w:eastAsia="宋体" w:hAnsi="Times New Roman" w:cs="Times New Roman"/>
                <w:kern w:val="2"/>
                <w:sz w:val="21"/>
                <w:szCs w:val="21"/>
              </w:rPr>
            </w:pPr>
            <w:r>
              <w:rPr>
                <w:rFonts w:ascii="宋体" w:eastAsia="宋体" w:cs="Times New Roman" w:hint="eastAsia"/>
                <w:kern w:val="2"/>
                <w:sz w:val="21"/>
                <w:szCs w:val="21"/>
              </w:rPr>
              <w:t>现场操作培训内容包括但不仅限于辐射安全知识、设备操作知识、图像常规分析。现场操作培训根据现场业务需要不限定人数。</w:t>
            </w:r>
          </w:p>
        </w:tc>
        <w:tc>
          <w:tcPr>
            <w:tcW w:w="1685" w:type="dxa"/>
            <w:noWrap/>
            <w:vAlign w:val="center"/>
          </w:tcPr>
          <w:p>
            <w:pPr>
              <w:autoSpaceDN w:val="0"/>
              <w:spacing w:line="240" w:lineRule="exact"/>
              <w:ind w:firstLine="0"/>
              <w:jc w:val="left"/>
              <w:rPr>
                <w:rFonts w:ascii="Times New Roman" w:eastAsia="宋体" w:hAnsi="Times New Roman" w:cs="Times New Roman"/>
                <w:kern w:val="2"/>
                <w:sz w:val="21"/>
              </w:rPr>
            </w:pPr>
            <w:r>
              <w:rPr>
                <w:rFonts w:ascii="宋体" w:eastAsia="宋体" w:cs="Times New Roman" w:hint="eastAsia"/>
                <w:kern w:val="2"/>
                <w:sz w:val="21"/>
                <w:szCs w:val="21"/>
              </w:rPr>
              <w:t>提供加盖投标人公章的现场操作培训方案</w:t>
            </w:r>
          </w:p>
        </w:tc>
      </w:tr>
      <w:tr>
        <w:tblPrEx>
          <w:tblW w:w="8519" w:type="dxa"/>
          <w:jc w:val="left"/>
          <w:tblInd w:w="0" w:type="dxa"/>
          <w:tblLayout w:type="fixed"/>
          <w:tblCellMar>
            <w:top w:w="0" w:type="dxa"/>
            <w:left w:w="108" w:type="dxa"/>
            <w:bottom w:w="0" w:type="dxa"/>
            <w:right w:w="108" w:type="dxa"/>
          </w:tblCellMar>
        </w:tblPrEx>
        <w:trPr>
          <w:trHeight w:val="509"/>
          <w:jc w:val="left"/>
        </w:trPr>
        <w:tc>
          <w:tcPr>
            <w:tcW w:w="808" w:type="dxa"/>
            <w:vMerge/>
            <w:noWrap/>
            <w:vAlign w:val="center"/>
          </w:tcPr>
          <w:p/>
        </w:tc>
        <w:tc>
          <w:tcPr>
            <w:tcW w:w="1001" w:type="dxa"/>
            <w:vMerge/>
            <w:tcBorders>
              <w:top w:val="single" w:sz="4" w:space="0" w:color="auto"/>
              <w:left w:val="single" w:sz="4" w:space="0" w:color="auto"/>
              <w:right w:val="single" w:sz="4" w:space="0" w:color="auto"/>
            </w:tcBorders>
            <w:noWrap/>
            <w:vAlign w:val="center"/>
          </w:tcPr>
          <w:p/>
        </w:tc>
        <w:tc>
          <w:tcPr>
            <w:tcW w:w="1276" w:type="dxa"/>
            <w:tcBorders>
              <w:top w:val="single" w:sz="4" w:space="0" w:color="auto"/>
              <w:left w:val="single" w:sz="4" w:space="0" w:color="auto"/>
              <w:right w:val="single" w:sz="4" w:space="0" w:color="auto"/>
            </w:tcBorders>
            <w:noWrap/>
            <w:vAlign w:val="center"/>
          </w:tcPr>
          <w:p>
            <w:pPr>
              <w:ind w:firstLine="0"/>
              <w:jc w:val="center"/>
              <w:rPr>
                <w:rFonts w:ascii="宋体" w:eastAsia="宋体"/>
              </w:rPr>
            </w:pPr>
          </w:p>
        </w:tc>
        <w:tc>
          <w:tcPr>
            <w:tcW w:w="3749" w:type="dxa"/>
            <w:tcBorders>
              <w:top w:val="single" w:sz="4" w:space="0" w:color="auto"/>
              <w:left w:val="single" w:sz="4" w:space="0" w:color="auto"/>
              <w:right w:val="single" w:sz="4" w:space="0" w:color="auto"/>
            </w:tcBorders>
            <w:noWrap/>
          </w:tcPr>
          <w:p>
            <w:pPr>
              <w:spacing w:line="240" w:lineRule="atLeast"/>
              <w:ind w:firstLine="0"/>
              <w:rPr>
                <w:rFonts w:ascii="宋体" w:eastAsia="宋体" w:cs="Times New Roman"/>
                <w:kern w:val="2"/>
                <w:sz w:val="21"/>
                <w:szCs w:val="21"/>
              </w:rPr>
            </w:pPr>
            <w:r>
              <w:rPr>
                <w:rFonts w:ascii="宋体" w:eastAsia="宋体" w:cs="Times New Roman" w:hint="eastAsia"/>
                <w:kern w:val="2"/>
                <w:sz w:val="21"/>
                <w:szCs w:val="21"/>
              </w:rPr>
              <w:t>3、投标人要有稳定的专业培训团队，了解熟悉业务特点。</w:t>
            </w:r>
          </w:p>
        </w:tc>
        <w:tc>
          <w:tcPr>
            <w:tcW w:w="1685" w:type="dxa"/>
            <w:noWrap/>
            <w:vAlign w:val="center"/>
          </w:tcPr>
          <w:p>
            <w:pPr>
              <w:spacing w:line="240" w:lineRule="atLeast"/>
              <w:ind w:firstLine="0"/>
              <w:jc w:val="center"/>
              <w:rPr>
                <w:rFonts w:ascii="宋体" w:eastAsia="宋体" w:cs="Times New Roman"/>
                <w:kern w:val="2"/>
                <w:sz w:val="21"/>
                <w:szCs w:val="21"/>
              </w:rPr>
            </w:pPr>
            <w:r>
              <w:rPr>
                <w:rFonts w:ascii="宋体" w:eastAsia="宋体" w:cs="Times New Roman"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874"/>
          <w:jc w:val="left"/>
        </w:trPr>
        <w:tc>
          <w:tcPr>
            <w:tcW w:w="808" w:type="dxa"/>
            <w:noWrap/>
            <w:vAlign w:val="center"/>
          </w:tcPr>
          <w:p>
            <w:pPr>
              <w:ind w:firstLine="0"/>
              <w:jc w:val="center"/>
              <w:rPr>
                <w:rFonts w:ascii="宋体" w:eastAsia="宋体"/>
              </w:rPr>
            </w:pPr>
            <w:r>
              <w:rPr>
                <w:rFonts w:ascii="宋体" w:eastAsia="宋体" w:hint="eastAsia"/>
              </w:rPr>
              <w:t>8</w:t>
            </w:r>
          </w:p>
        </w:tc>
        <w:tc>
          <w:tcPr>
            <w:tcW w:w="1001" w:type="dxa"/>
            <w:tcBorders>
              <w:top w:val="single" w:sz="4" w:space="0" w:color="auto"/>
              <w:left w:val="single" w:sz="4" w:space="0" w:color="auto"/>
              <w:right w:val="single" w:sz="4" w:space="0" w:color="auto"/>
            </w:tcBorders>
            <w:noWrap/>
            <w:vAlign w:val="center"/>
          </w:tcPr>
          <w:p>
            <w:pPr>
              <w:ind w:firstLine="0"/>
              <w:jc w:val="center"/>
              <w:rPr>
                <w:rFonts w:ascii="宋体" w:eastAsia="宋体"/>
              </w:rPr>
            </w:pPr>
            <w:r>
              <w:rPr>
                <w:rFonts w:ascii="宋体" w:eastAsia="宋体" w:hint="eastAsia"/>
              </w:rPr>
              <w:t>集成标准</w:t>
            </w:r>
          </w:p>
        </w:tc>
        <w:tc>
          <w:tcPr>
            <w:tcW w:w="1276" w:type="dxa"/>
            <w:tcBorders>
              <w:top w:val="single" w:sz="4" w:space="0" w:color="auto"/>
              <w:left w:val="single" w:sz="4" w:space="0" w:color="auto"/>
              <w:right w:val="single" w:sz="4" w:space="0" w:color="auto"/>
            </w:tcBorders>
            <w:noWrap/>
            <w:vAlign w:val="center"/>
          </w:tcPr>
          <w:p>
            <w:pPr>
              <w:ind w:firstLine="0"/>
              <w:jc w:val="center"/>
              <w:rPr>
                <w:rFonts w:ascii="宋体" w:eastAsia="宋体"/>
              </w:rPr>
            </w:pPr>
          </w:p>
        </w:tc>
        <w:tc>
          <w:tcPr>
            <w:tcW w:w="3749" w:type="dxa"/>
            <w:tcBorders>
              <w:top w:val="single" w:sz="4" w:space="0" w:color="auto"/>
              <w:left w:val="single" w:sz="4" w:space="0" w:color="auto"/>
              <w:right w:val="single" w:sz="4" w:space="0" w:color="auto"/>
            </w:tcBorders>
            <w:noWrap/>
            <w:vAlign w:val="center"/>
          </w:tcPr>
          <w:p>
            <w:pPr>
              <w:spacing w:line="240" w:lineRule="exact"/>
              <w:ind w:firstLine="0"/>
              <w:jc w:val="center"/>
              <w:rPr>
                <w:rFonts w:ascii="宋体" w:eastAsia="宋体" w:cs="Times New Roman"/>
                <w:kern w:val="2"/>
                <w:sz w:val="21"/>
              </w:rPr>
            </w:pPr>
            <w:r>
              <w:rPr>
                <w:rFonts w:ascii="宋体" w:eastAsia="宋体" w:cs="Times New Roman" w:hint="eastAsia"/>
                <w:kern w:val="2"/>
                <w:sz w:val="21"/>
                <w:szCs w:val="21"/>
              </w:rPr>
              <w:t>无</w:t>
            </w:r>
          </w:p>
        </w:tc>
        <w:tc>
          <w:tcPr>
            <w:tcW w:w="1685" w:type="dxa"/>
            <w:noWrap/>
            <w:vAlign w:val="center"/>
          </w:tcPr>
          <w:p>
            <w:pPr>
              <w:spacing w:line="240" w:lineRule="atLeast"/>
              <w:ind w:firstLine="0"/>
              <w:jc w:val="center"/>
              <w:rPr>
                <w:rFonts w:ascii="宋体" w:eastAsia="宋体" w:cs="Times New Roman"/>
                <w:kern w:val="2"/>
                <w:sz w:val="21"/>
                <w:szCs w:val="21"/>
              </w:rPr>
            </w:pPr>
            <w:r>
              <w:rPr>
                <w:rFonts w:ascii="宋体" w:eastAsia="宋体" w:cs="Times New Roman" w:hint="eastAsia"/>
                <w:kern w:val="2"/>
                <w:sz w:val="21"/>
                <w:szCs w:val="21"/>
              </w:rPr>
              <w:t>否</w:t>
            </w:r>
          </w:p>
        </w:tc>
      </w:tr>
      <w:tr>
        <w:tblPrEx>
          <w:tblW w:w="8519" w:type="dxa"/>
          <w:jc w:val="left"/>
          <w:tblInd w:w="0" w:type="dxa"/>
          <w:tblLayout w:type="fixed"/>
          <w:tblCellMar>
            <w:top w:w="0" w:type="dxa"/>
            <w:left w:w="108" w:type="dxa"/>
            <w:bottom w:w="0" w:type="dxa"/>
            <w:right w:w="108" w:type="dxa"/>
          </w:tblCellMar>
        </w:tblPrEx>
        <w:trPr>
          <w:trHeight w:val="774"/>
          <w:jc w:val="left"/>
        </w:trPr>
        <w:tc>
          <w:tcPr>
            <w:tcW w:w="808" w:type="dxa"/>
            <w:noWrap/>
            <w:vAlign w:val="center"/>
          </w:tcPr>
          <w:p>
            <w:pPr>
              <w:spacing w:line="240" w:lineRule="auto"/>
              <w:ind w:firstLine="0"/>
              <w:jc w:val="center"/>
              <w:rPr>
                <w:rFonts w:ascii="宋体" w:eastAsia="宋体" w:cs="Times New Roman"/>
                <w:kern w:val="2"/>
                <w:sz w:val="21"/>
              </w:rPr>
            </w:pPr>
            <w:r>
              <w:rPr>
                <w:rFonts w:ascii="宋体" w:eastAsia="宋体" w:cs="Times New Roman"/>
                <w:kern w:val="2"/>
                <w:sz w:val="21"/>
              </w:rPr>
              <w:t>9</w:t>
            </w:r>
          </w:p>
        </w:tc>
        <w:tc>
          <w:tcPr>
            <w:tcW w:w="1001"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r>
              <w:rPr>
                <w:rFonts w:ascii="宋体" w:eastAsia="宋体" w:cs="Times New Roman"/>
                <w:kern w:val="2"/>
                <w:sz w:val="21"/>
              </w:rPr>
              <w:t>交付或实施地点</w:t>
            </w:r>
          </w:p>
        </w:tc>
        <w:tc>
          <w:tcPr>
            <w:tcW w:w="127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Times New Roman"/>
                <w:kern w:val="2"/>
                <w:sz w:val="21"/>
              </w:rPr>
            </w:pPr>
          </w:p>
        </w:tc>
        <w:tc>
          <w:tcPr>
            <w:tcW w:w="3749" w:type="dxa"/>
            <w:tcBorders>
              <w:top w:val="single" w:sz="4" w:space="0" w:color="auto"/>
              <w:left w:val="single" w:sz="4" w:space="0" w:color="auto"/>
              <w:right w:val="single" w:sz="4" w:space="0" w:color="auto"/>
            </w:tcBorders>
            <w:noWrap/>
          </w:tcPr>
          <w:p>
            <w:pPr>
              <w:spacing w:line="240" w:lineRule="atLeast"/>
              <w:ind w:firstLine="0"/>
              <w:rPr>
                <w:rFonts w:ascii="宋体" w:eastAsia="宋体" w:cs="Times New Roman"/>
                <w:kern w:val="2"/>
                <w:sz w:val="21"/>
              </w:rPr>
            </w:pPr>
            <w:r>
              <w:rPr>
                <w:rFonts w:ascii="宋体" w:eastAsia="宋体" w:cs="Times New Roman" w:hint="eastAsia"/>
                <w:kern w:val="2"/>
                <w:sz w:val="21"/>
                <w:szCs w:val="21"/>
              </w:rPr>
              <w:t>设备安装使用地点，详见</w:t>
            </w:r>
            <w:r>
              <w:rPr>
                <w:rFonts w:ascii="宋体" w:eastAsia="宋体" w:cs="Times New Roman"/>
                <w:kern w:val="2"/>
                <w:sz w:val="21"/>
                <w:szCs w:val="21"/>
              </w:rPr>
              <w:t>附件1《设备明细表》</w:t>
            </w:r>
          </w:p>
        </w:tc>
        <w:tc>
          <w:tcPr>
            <w:tcW w:w="1685" w:type="dxa"/>
            <w:noWrap/>
            <w:vAlign w:val="center"/>
          </w:tcPr>
          <w:p>
            <w:pPr>
              <w:spacing w:line="240" w:lineRule="atLeast"/>
              <w:ind w:firstLine="0"/>
              <w:jc w:val="center"/>
              <w:rPr>
                <w:rFonts w:ascii="宋体" w:eastAsia="宋体" w:cs="Times New Roman"/>
                <w:kern w:val="2"/>
                <w:sz w:val="21"/>
              </w:rPr>
            </w:pPr>
            <w:r>
              <w:rPr>
                <w:rFonts w:ascii="宋体" w:eastAsia="宋体" w:cs="Times New Roman" w:hint="eastAsia"/>
                <w:kern w:val="2"/>
                <w:sz w:val="21"/>
                <w:szCs w:val="21"/>
              </w:rPr>
              <w:t>否</w:t>
            </w:r>
          </w:p>
        </w:tc>
      </w:tr>
    </w:tbl>
    <w:p>
      <w:pPr>
        <w:numPr>
          <w:ilvl w:val="0"/>
          <w:numId w:val="2"/>
        </w:numPr>
        <w:spacing w:line="240" w:lineRule="auto"/>
        <w:rPr>
          <w:rFonts w:ascii="宋体" w:eastAsia="宋体" w:cs="Times New Roman"/>
          <w:b/>
          <w:kern w:val="2"/>
          <w:sz w:val="32"/>
          <w:szCs w:val="32"/>
        </w:rPr>
      </w:pPr>
      <w:r>
        <w:rPr>
          <w:rFonts w:ascii="宋体" w:eastAsia="宋体" w:cs="Times New Roman" w:hint="eastAsia"/>
          <w:b/>
          <w:kern w:val="2"/>
          <w:sz w:val="32"/>
          <w:szCs w:val="32"/>
        </w:rPr>
        <w:t>其它内容</w:t>
      </w:r>
    </w:p>
    <w:p>
      <w:pPr>
        <w:spacing w:line="560" w:lineRule="exact"/>
        <w:ind w:firstLine="420" w:firstLineChars="200"/>
        <w:rPr>
          <w:rFonts w:ascii="宋体" w:eastAsia="宋体" w:cs="Times New Roman"/>
          <w:kern w:val="2"/>
        </w:rPr>
      </w:pPr>
      <w:r>
        <w:rPr>
          <w:rFonts w:ascii="宋体" w:eastAsia="宋体" w:cs="Times New Roman"/>
          <w:kern w:val="2"/>
        </w:rPr>
        <w:t>1</w:t>
      </w:r>
      <w:r>
        <w:rPr>
          <w:rFonts w:ascii="宋体" w:eastAsia="宋体" w:cs="Times New Roman" w:hint="eastAsia"/>
          <w:kern w:val="2"/>
        </w:rPr>
        <w:t>.</w:t>
      </w:r>
      <w:r>
        <w:rPr>
          <w:rFonts w:ascii="宋体" w:eastAsia="宋体" w:cs="Times New Roman"/>
          <w:kern w:val="2"/>
        </w:rPr>
        <w:t>业绩要求。</w:t>
      </w:r>
    </w:p>
    <w:p>
      <w:pPr>
        <w:autoSpaceDN w:val="0"/>
        <w:spacing w:line="560" w:lineRule="exact"/>
        <w:ind w:firstLine="420" w:firstLineChars="200"/>
        <w:rPr>
          <w:rFonts w:ascii="Times New Roman" w:eastAsia="宋体" w:hAnsi="Times New Roman" w:cs="Times New Roman"/>
          <w:color w:val="000000"/>
          <w:kern w:val="2"/>
        </w:rPr>
      </w:pPr>
      <w:r>
        <w:rPr>
          <w:rFonts w:ascii="宋体" w:eastAsia="宋体" w:cs="Times New Roman" w:hint="eastAsia"/>
          <w:color w:val="000000"/>
          <w:kern w:val="2"/>
        </w:rPr>
        <w:t>2021年</w:t>
      </w:r>
      <w:r>
        <w:rPr>
          <w:rFonts w:ascii="宋体" w:eastAsia="宋体" w:cs="Times New Roman"/>
          <w:color w:val="000000"/>
          <w:kern w:val="2"/>
        </w:rPr>
        <w:t>12</w:t>
      </w:r>
      <w:r>
        <w:rPr>
          <w:rFonts w:ascii="宋体" w:eastAsia="宋体" w:cs="Times New Roman" w:hint="eastAsia"/>
          <w:color w:val="000000"/>
          <w:kern w:val="2"/>
        </w:rPr>
        <w:t>月1日以来同类</w:t>
      </w:r>
      <w:r>
        <w:rPr>
          <w:rFonts w:ascii="宋体" w:eastAsia="宋体" w:cs="Times New Roman"/>
          <w:color w:val="000000"/>
          <w:kern w:val="2"/>
        </w:rPr>
        <w:t>服务</w:t>
      </w:r>
      <w:r>
        <w:rPr>
          <w:rFonts w:ascii="宋体" w:eastAsia="宋体" w:cs="Times New Roman" w:hint="eastAsia"/>
          <w:color w:val="000000"/>
          <w:kern w:val="2"/>
        </w:rPr>
        <w:t>项目业绩。</w:t>
      </w:r>
    </w:p>
    <w:p>
      <w:pPr>
        <w:spacing w:line="560" w:lineRule="exact"/>
        <w:ind w:firstLine="420" w:firstLineChars="200"/>
        <w:rPr>
          <w:rFonts w:ascii="宋体" w:eastAsia="宋体" w:cs="Times New Roman"/>
          <w:kern w:val="2"/>
        </w:rPr>
      </w:pPr>
      <w:r>
        <w:rPr>
          <w:rFonts w:ascii="宋体" w:eastAsia="宋体" w:cs="Times New Roman"/>
          <w:kern w:val="2"/>
        </w:rPr>
        <w:t>2.相关主观评审因素要求。</w:t>
      </w:r>
    </w:p>
    <w:p>
      <w:pPr>
        <w:autoSpaceDN w:val="0"/>
        <w:spacing w:line="560" w:lineRule="exact"/>
        <w:ind w:firstLine="420" w:firstLineChars="200"/>
        <w:rPr>
          <w:rFonts w:ascii="宋体" w:eastAsia="宋体" w:cs="Times New Roman"/>
          <w:color w:val="000000"/>
          <w:kern w:val="2"/>
        </w:rPr>
      </w:pPr>
      <w:r>
        <w:rPr>
          <w:rFonts w:ascii="宋体" w:eastAsia="宋体" w:cs="Times New Roman" w:hint="eastAsia"/>
          <w:kern w:val="2"/>
        </w:rPr>
        <w:t>（1）</w:t>
      </w:r>
      <w:r>
        <w:rPr>
          <w:rFonts w:ascii="宋体" w:eastAsia="宋体" w:cs="Times New Roman" w:hint="eastAsia"/>
          <w:color w:val="000000"/>
          <w:kern w:val="2"/>
        </w:rPr>
        <w:t>制定以日常巡检、定期保养及相应设备软件升级为基础的预防性维护方案，包括但不限于运维服务团队配置、服务内容、服务响应时间、故障处理、应急措施等内容。</w:t>
      </w:r>
    </w:p>
    <w:p>
      <w:pPr>
        <w:autoSpaceDN w:val="0"/>
        <w:spacing w:line="560" w:lineRule="exact"/>
        <w:ind w:firstLine="420" w:firstLineChars="200"/>
        <w:rPr>
          <w:rFonts w:ascii="宋体" w:eastAsia="宋体" w:cs="Times New Roman"/>
          <w:color w:val="000000"/>
          <w:kern w:val="2"/>
        </w:rPr>
      </w:pPr>
      <w:r>
        <w:rPr>
          <w:rFonts w:ascii="宋体" w:eastAsia="宋体" w:cs="Times New Roman" w:hint="eastAsia"/>
          <w:color w:val="000000"/>
          <w:kern w:val="2"/>
        </w:rPr>
        <w:t>（2）提供详细售后服务体系方案，包括覆盖本项目各个设备现场的售后服务点后的运维服务网络结构、具备较强运维服务能力的团队及专业规范的运维服务信息管理系统等内容。</w:t>
      </w:r>
    </w:p>
    <w:p>
      <w:pPr>
        <w:autoSpaceDN w:val="0"/>
        <w:spacing w:line="560" w:lineRule="exact"/>
        <w:ind w:firstLine="420" w:firstLineChars="200"/>
        <w:rPr>
          <w:rFonts w:ascii="宋体" w:eastAsia="宋体" w:cs="Times New Roman"/>
          <w:color w:val="000000"/>
          <w:kern w:val="2"/>
        </w:rPr>
      </w:pPr>
      <w:r>
        <w:rPr>
          <w:rFonts w:ascii="宋体" w:eastAsia="宋体" w:cs="Times New Roman" w:hint="eastAsia"/>
          <w:color w:val="000000"/>
          <w:kern w:val="2"/>
        </w:rPr>
        <w:t>（3）提供H986设备现场操作培训方案，包括但不仅限于辐射安全知识、设备操作知识、图像常规分析等内容。</w:t>
      </w:r>
    </w:p>
    <w:p>
      <w:pPr>
        <w:spacing w:line="560" w:lineRule="exact"/>
        <w:ind w:firstLine="420" w:firstLineChars="200"/>
        <w:rPr>
          <w:rFonts w:ascii="宋体" w:eastAsia="宋体" w:cs="Times New Roman"/>
          <w:kern w:val="2"/>
        </w:rPr>
      </w:pPr>
      <w:r>
        <w:rPr>
          <w:rFonts w:ascii="宋体" w:eastAsia="宋体" w:cs="Times New Roman" w:hint="eastAsia"/>
          <w:kern w:val="2"/>
        </w:rPr>
        <w:t xml:space="preserve"> </w:t>
      </w:r>
      <w:r>
        <w:rPr>
          <w:rFonts w:ascii="宋体" w:eastAsia="宋体" w:cs="Times New Roman"/>
          <w:kern w:val="2"/>
        </w:rPr>
        <w:t>3</w:t>
      </w:r>
      <w:r>
        <w:rPr>
          <w:rFonts w:ascii="宋体" w:eastAsia="宋体" w:cs="Times New Roman" w:hint="eastAsia"/>
          <w:kern w:val="2"/>
        </w:rPr>
        <w:t>.</w:t>
      </w:r>
      <w:r>
        <w:rPr>
          <w:rFonts w:ascii="宋体" w:eastAsia="宋体" w:cs="Times New Roman"/>
          <w:kern w:val="2"/>
        </w:rPr>
        <w:t>服务清单（若有）。</w:t>
      </w:r>
    </w:p>
    <w:p>
      <w:pPr>
        <w:spacing w:line="560" w:lineRule="exact"/>
        <w:ind w:firstLine="420" w:firstLineChars="200"/>
        <w:rPr>
          <w:rFonts w:ascii="宋体" w:eastAsia="宋体" w:cs="Times New Roman"/>
          <w:kern w:val="2"/>
        </w:rPr>
      </w:pPr>
      <w:r>
        <w:rPr>
          <w:rFonts w:ascii="宋体" w:eastAsia="宋体" w:cs="Times New Roman" w:hint="eastAsia"/>
          <w:kern w:val="2"/>
        </w:rPr>
        <w:t>无</w:t>
      </w:r>
    </w:p>
    <w:p>
      <w:pPr>
        <w:spacing w:line="560" w:lineRule="exact"/>
        <w:ind w:firstLine="420" w:firstLineChars="200"/>
        <w:rPr>
          <w:rFonts w:ascii="宋体" w:eastAsia="宋体" w:cs="Times New Roman"/>
          <w:kern w:val="2"/>
        </w:rPr>
      </w:pPr>
      <w:r>
        <w:rPr>
          <w:rFonts w:ascii="宋体" w:eastAsia="宋体" w:cs="Times New Roman"/>
          <w:kern w:val="2"/>
        </w:rPr>
        <w:t>4.其它认为有必要的内容,如未尽的技术指标要求、中标原则、是否专门针对中小企业等等（若有）。</w:t>
      </w:r>
    </w:p>
    <w:p>
      <w:pPr>
        <w:spacing w:line="560" w:lineRule="exact"/>
        <w:ind w:firstLine="420" w:firstLineChars="200"/>
        <w:rPr>
          <w:rFonts w:ascii="宋体" w:eastAsia="宋体" w:cs="Times New Roman"/>
          <w:kern w:val="2"/>
        </w:rPr>
      </w:pPr>
      <w:r>
        <w:rPr>
          <w:rFonts w:ascii="宋体" w:eastAsia="宋体" w:cs="Times New Roman" w:hint="eastAsia"/>
          <w:kern w:val="2"/>
        </w:rPr>
        <w:t>无</w:t>
      </w:r>
    </w:p>
    <w:p>
      <w:pPr>
        <w:spacing w:line="560" w:lineRule="exact"/>
        <w:ind w:firstLine="420" w:firstLineChars="200"/>
        <w:rPr>
          <w:rFonts w:ascii="宋体" w:eastAsia="宋体" w:cs="Times New Roman"/>
          <w:kern w:val="2"/>
          <w:sz w:val="21"/>
        </w:rPr>
      </w:pPr>
      <w:r>
        <w:rPr>
          <w:rFonts w:ascii="宋体" w:eastAsia="宋体" w:cs="Times New Roman"/>
          <w:kern w:val="2"/>
        </w:rPr>
        <w:t>5.技术服务需求响应程度表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Borders>
              <w:top w:val="single" w:sz="4" w:space="0" w:color="auto"/>
              <w:left w:val="single" w:sz="4" w:space="0" w:color="auto"/>
              <w:bottom w:val="single" w:sz="4" w:space="0" w:color="auto"/>
              <w:right w:val="single" w:sz="4" w:space="0" w:color="auto"/>
            </w:tcBorders>
            <w:noWrap/>
          </w:tcPr>
          <w:p>
            <w:pPr>
              <w:ind w:firstLine="0"/>
              <w:jc w:val="center"/>
              <w:rPr>
                <w:rFonts w:ascii="宋体" w:eastAsia="宋体"/>
              </w:rPr>
            </w:pPr>
            <w:r>
              <w:rPr>
                <w:rFonts w:ascii="宋体" w:eastAsia="宋体" w:hint="eastAsia"/>
              </w:rPr>
              <w:t>序号</w:t>
            </w:r>
          </w:p>
        </w:tc>
        <w:tc>
          <w:tcPr>
            <w:tcW w:w="1140" w:type="dxa"/>
            <w:tcBorders>
              <w:top w:val="single" w:sz="4" w:space="0" w:color="auto"/>
              <w:left w:val="single" w:sz="4" w:space="0" w:color="auto"/>
              <w:bottom w:val="single" w:sz="4" w:space="0" w:color="auto"/>
              <w:right w:val="single" w:sz="4" w:space="0" w:color="auto"/>
            </w:tcBorders>
            <w:noWrap/>
          </w:tcPr>
          <w:p>
            <w:pPr>
              <w:ind w:firstLine="0"/>
              <w:jc w:val="center"/>
              <w:rPr>
                <w:rFonts w:ascii="宋体" w:eastAsia="宋体"/>
              </w:rPr>
            </w:pPr>
            <w:r>
              <w:rPr>
                <w:rFonts w:ascii="宋体" w:eastAsia="宋体" w:hint="eastAsia"/>
              </w:rPr>
              <w:t>内容</w:t>
            </w:r>
          </w:p>
        </w:tc>
        <w:tc>
          <w:tcPr>
            <w:tcW w:w="1880" w:type="dxa"/>
            <w:tcBorders>
              <w:top w:val="single" w:sz="4" w:space="0" w:color="auto"/>
              <w:left w:val="single" w:sz="4" w:space="0" w:color="auto"/>
              <w:bottom w:val="single" w:sz="4" w:space="0" w:color="auto"/>
              <w:right w:val="single" w:sz="4" w:space="0" w:color="auto"/>
            </w:tcBorders>
            <w:noWrap/>
          </w:tcPr>
          <w:p>
            <w:pPr>
              <w:ind w:firstLine="0"/>
              <w:jc w:val="center"/>
              <w:rPr>
                <w:rFonts w:ascii="宋体" w:eastAsia="宋体"/>
              </w:rPr>
            </w:pPr>
            <w:r>
              <w:rPr>
                <w:rFonts w:ascii="宋体" w:eastAsia="宋体" w:hint="eastAsia"/>
              </w:rPr>
              <w:t>数量</w:t>
            </w:r>
          </w:p>
        </w:tc>
        <w:tc>
          <w:tcPr>
            <w:tcW w:w="4680" w:type="dxa"/>
            <w:tcBorders>
              <w:top w:val="single" w:sz="4" w:space="0" w:color="auto"/>
              <w:left w:val="single" w:sz="4" w:space="0" w:color="auto"/>
              <w:bottom w:val="single" w:sz="4" w:space="0" w:color="auto"/>
              <w:right w:val="single" w:sz="4" w:space="0" w:color="auto"/>
            </w:tcBorders>
            <w:noWrap/>
          </w:tcPr>
          <w:p>
            <w:pPr>
              <w:ind w:firstLine="0"/>
              <w:jc w:val="center"/>
              <w:rPr>
                <w:rFonts w:ascii="宋体" w:eastAsia="宋体"/>
              </w:rPr>
            </w:pPr>
            <w:r>
              <w:rPr>
                <w:rFonts w:ascii="宋体" w:eastAsia="宋体" w:hint="eastAsia"/>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noWrap/>
            <w:vAlign w:val="center"/>
          </w:tcPr>
          <w:p>
            <w:pPr>
              <w:ind w:firstLine="0"/>
              <w:jc w:val="center"/>
              <w:rPr>
                <w:rFonts w:ascii="宋体" w:eastAsia="宋体"/>
              </w:rPr>
            </w:pPr>
            <w:r>
              <w:rPr>
                <w:rFonts w:ascii="宋体" w:eastAsia="宋体" w:hint="eastAsia"/>
              </w:rPr>
              <w:t>1</w:t>
            </w: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rPr>
            </w:pPr>
            <w:r>
              <w:rPr>
                <w:rFonts w:ascii="宋体" w:eastAsia="宋体" w:hint="eastAsia"/>
              </w:rPr>
              <w:t>重要指标项</w:t>
            </w:r>
          </w:p>
        </w:tc>
        <w:tc>
          <w:tcPr>
            <w:tcW w:w="1880" w:type="dxa"/>
            <w:tcBorders>
              <w:top w:val="single" w:sz="4" w:space="0" w:color="auto"/>
              <w:left w:val="single" w:sz="4" w:space="0" w:color="auto"/>
              <w:right w:val="single" w:sz="4" w:space="0" w:color="auto"/>
            </w:tcBorders>
            <w:noWrap/>
            <w:vAlign w:val="center"/>
          </w:tcPr>
          <w:p>
            <w:pPr>
              <w:ind w:firstLine="0"/>
              <w:jc w:val="center"/>
              <w:rPr>
                <w:rFonts w:ascii="宋体" w:eastAsia="宋体"/>
              </w:rPr>
            </w:pPr>
            <w:r>
              <w:rPr>
                <w:rFonts w:ascii="宋体" w:eastAsia="宋体" w:hint="eastAsia"/>
              </w:rPr>
              <w:t>4</w:t>
            </w:r>
          </w:p>
        </w:tc>
        <w:tc>
          <w:tcPr>
            <w:tcW w:w="4680" w:type="dxa"/>
            <w:noWrap/>
          </w:tcPr>
          <w:p>
            <w:pPr>
              <w:autoSpaceDN w:val="0"/>
              <w:spacing w:line="240" w:lineRule="atLeast"/>
              <w:ind w:firstLine="0"/>
              <w:jc w:val="left"/>
              <w:rPr>
                <w:rFonts w:eastAsia="宋体"/>
              </w:rPr>
            </w:pPr>
            <w:r>
              <w:rPr>
                <w:rFonts w:ascii="宋体" w:eastAsia="宋体" w:hint="eastAsia"/>
                <w:sz w:val="21"/>
                <w:szCs w:val="21"/>
              </w:rPr>
              <w:t>注：需响应指标为：分别为：六、货物或服务指标要求共2条（维修质量要求、预防性维护质量要求各1条）；七、服务要求共1条（2.2）；八、实施要求共1条（2、</w:t>
            </w:r>
            <w:r>
              <w:rPr>
                <w:rFonts w:ascii="Arial" w:eastAsia="宋体" w:hAnsi="Arial" w:cs="Arial" w:hint="eastAsia"/>
                <w:sz w:val="21"/>
                <w:szCs w:val="21"/>
              </w:rPr>
              <w:t>▲</w:t>
            </w:r>
            <w:r>
              <w:rPr>
                <w:rFonts w:ascii="宋体" w:eastAsia="宋体" w:hint="eastAsia"/>
                <w:sz w:val="21"/>
                <w:szCs w:val="21"/>
              </w:rPr>
              <w:t>现场辐射安全检测要求）</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noWrap/>
            <w:vAlign w:val="center"/>
          </w:tcPr>
          <w:p>
            <w:pPr>
              <w:ind w:firstLine="0"/>
              <w:jc w:val="center"/>
              <w:rPr>
                <w:rFonts w:ascii="宋体" w:eastAsia="宋体"/>
              </w:rPr>
            </w:pPr>
            <w:r>
              <w:rPr>
                <w:rFonts w:ascii="宋体" w:eastAsia="宋体" w:hint="eastAsia"/>
              </w:rPr>
              <w:t>2</w:t>
            </w: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rPr>
            </w:pPr>
            <w:r>
              <w:rPr>
                <w:rFonts w:ascii="宋体" w:eastAsia="宋体" w:hint="eastAsia"/>
              </w:rPr>
              <w:t>一般指标项</w:t>
            </w:r>
          </w:p>
        </w:tc>
        <w:tc>
          <w:tcPr>
            <w:tcW w:w="1880" w:type="dxa"/>
            <w:tcBorders>
              <w:top w:val="single" w:sz="4" w:space="0" w:color="auto"/>
              <w:left w:val="single" w:sz="4" w:space="0" w:color="auto"/>
              <w:right w:val="single" w:sz="4" w:space="0" w:color="auto"/>
            </w:tcBorders>
            <w:noWrap/>
            <w:vAlign w:val="center"/>
          </w:tcPr>
          <w:p>
            <w:pPr>
              <w:ind w:firstLine="0"/>
              <w:jc w:val="center"/>
              <w:rPr>
                <w:rFonts w:ascii="宋体" w:eastAsia="宋体"/>
              </w:rPr>
            </w:pPr>
            <w:r>
              <w:rPr>
                <w:rFonts w:ascii="宋体" w:eastAsia="宋体" w:hint="eastAsia"/>
                <w:sz w:val="21"/>
                <w:szCs w:val="21"/>
              </w:rPr>
              <w:t>50</w:t>
            </w:r>
          </w:p>
        </w:tc>
        <w:tc>
          <w:tcPr>
            <w:tcW w:w="4680" w:type="dxa"/>
            <w:noWrap/>
          </w:tcPr>
          <w:p>
            <w:pPr>
              <w:autoSpaceDN w:val="0"/>
              <w:spacing w:line="240" w:lineRule="exact"/>
              <w:ind w:firstLine="0"/>
              <w:jc w:val="left"/>
              <w:rPr>
                <w:rFonts w:ascii="宋体" w:eastAsia="宋体" w:cs="Times New Roman"/>
                <w:kern w:val="2"/>
                <w:sz w:val="21"/>
                <w:szCs w:val="21"/>
              </w:rPr>
            </w:pPr>
            <w:r>
              <w:rPr>
                <w:rFonts w:ascii="宋体" w:eastAsia="宋体" w:cs="Times New Roman" w:hint="eastAsia"/>
                <w:kern w:val="2"/>
                <w:sz w:val="21"/>
                <w:szCs w:val="21"/>
              </w:rPr>
              <w:t>注：需响应的指标为：分别为：</w:t>
            </w:r>
          </w:p>
          <w:p>
            <w:pPr>
              <w:autoSpaceDN w:val="0"/>
              <w:spacing w:line="240" w:lineRule="exact"/>
              <w:ind w:firstLine="0"/>
              <w:jc w:val="left"/>
              <w:rPr>
                <w:rFonts w:ascii="宋体" w:eastAsia="宋体" w:cs="Times New Roman"/>
                <w:kern w:val="2"/>
                <w:sz w:val="21"/>
                <w:szCs w:val="21"/>
              </w:rPr>
            </w:pPr>
            <w:r>
              <w:rPr>
                <w:rFonts w:ascii="宋体" w:eastAsia="宋体" w:cs="Times New Roman" w:hint="eastAsia"/>
                <w:kern w:val="2"/>
                <w:sz w:val="21"/>
                <w:szCs w:val="21"/>
              </w:rPr>
              <w:t>四、项目概述要求3条（3、项目内容，4、项目范围，5、需求分析）；</w:t>
            </w:r>
          </w:p>
          <w:p>
            <w:pPr>
              <w:autoSpaceDN w:val="0"/>
              <w:spacing w:line="240" w:lineRule="exact"/>
              <w:ind w:firstLine="0"/>
              <w:jc w:val="left"/>
              <w:rPr>
                <w:rFonts w:ascii="宋体" w:eastAsia="宋体" w:cs="Times New Roman"/>
                <w:kern w:val="2"/>
                <w:sz w:val="21"/>
                <w:szCs w:val="21"/>
              </w:rPr>
            </w:pPr>
            <w:r>
              <w:rPr>
                <w:rFonts w:ascii="宋体" w:eastAsia="宋体" w:cs="Times New Roman" w:hint="eastAsia"/>
                <w:kern w:val="2"/>
                <w:sz w:val="21"/>
                <w:szCs w:val="21"/>
              </w:rPr>
              <w:t>五、集成需求要求3条（2.技术需求1-3）；</w:t>
            </w:r>
          </w:p>
          <w:p>
            <w:pPr>
              <w:autoSpaceDN w:val="0"/>
              <w:spacing w:line="240" w:lineRule="exact"/>
              <w:ind w:firstLine="0"/>
              <w:jc w:val="left"/>
              <w:rPr>
                <w:rFonts w:ascii="宋体" w:eastAsia="宋体" w:cs="Times New Roman"/>
                <w:color w:val="000000"/>
                <w:kern w:val="2"/>
                <w:sz w:val="21"/>
                <w:szCs w:val="21"/>
              </w:rPr>
            </w:pPr>
            <w:r>
              <w:rPr>
                <w:rFonts w:ascii="宋体" w:eastAsia="宋体" w:cs="Times New Roman"/>
                <w:color w:val="000000"/>
                <w:kern w:val="2"/>
                <w:sz w:val="21"/>
                <w:szCs w:val="21"/>
              </w:rPr>
              <w:t>六、</w:t>
            </w:r>
            <w:r>
              <w:rPr>
                <w:rFonts w:ascii="宋体" w:eastAsia="宋体" w:cs="Times New Roman" w:hint="eastAsia"/>
                <w:color w:val="000000"/>
                <w:kern w:val="2"/>
                <w:sz w:val="21"/>
                <w:szCs w:val="21"/>
              </w:rPr>
              <w:t>货物或服务指标要求共</w:t>
            </w:r>
            <w:r>
              <w:rPr>
                <w:rFonts w:ascii="宋体" w:eastAsia="宋体" w:cs="Times New Roman"/>
                <w:color w:val="000000"/>
                <w:kern w:val="2"/>
                <w:sz w:val="21"/>
                <w:szCs w:val="21"/>
              </w:rPr>
              <w:t>1条</w:t>
            </w:r>
            <w:r>
              <w:rPr>
                <w:rFonts w:ascii="宋体" w:eastAsia="宋体" w:cs="Times New Roman" w:hint="eastAsia"/>
                <w:color w:val="000000"/>
                <w:kern w:val="2"/>
                <w:sz w:val="21"/>
                <w:szCs w:val="21"/>
              </w:rPr>
              <w:t>（</w:t>
            </w:r>
            <w:r>
              <w:rPr>
                <w:rFonts w:ascii="宋体" w:eastAsia="宋体" w:cs="Times New Roman"/>
                <w:color w:val="000000"/>
                <w:kern w:val="2"/>
                <w:sz w:val="21"/>
                <w:szCs w:val="21"/>
              </w:rPr>
              <w:t>第3项</w:t>
            </w:r>
            <w:r>
              <w:rPr>
                <w:rFonts w:ascii="宋体" w:eastAsia="宋体" w:cs="Times New Roman" w:hint="eastAsia"/>
                <w:color w:val="000000"/>
                <w:kern w:val="2"/>
                <w:sz w:val="21"/>
                <w:szCs w:val="21"/>
              </w:rPr>
              <w:t>）</w:t>
            </w:r>
            <w:r>
              <w:rPr>
                <w:rFonts w:ascii="宋体" w:eastAsia="宋体" w:cs="Times New Roman"/>
                <w:color w:val="000000"/>
                <w:kern w:val="2"/>
                <w:sz w:val="21"/>
                <w:szCs w:val="21"/>
              </w:rPr>
              <w:t>。</w:t>
            </w:r>
          </w:p>
          <w:p>
            <w:pPr>
              <w:autoSpaceDN w:val="0"/>
              <w:spacing w:line="240" w:lineRule="exact"/>
              <w:ind w:firstLine="0"/>
              <w:jc w:val="left"/>
              <w:rPr>
                <w:rFonts w:ascii="Times New Roman" w:eastAsia="方正仿宋_GBK" w:hAnsi="Times New Roman" w:cs="Times New Roman"/>
                <w:kern w:val="2"/>
                <w:sz w:val="32"/>
                <w:szCs w:val="28"/>
              </w:rPr>
            </w:pPr>
            <w:r>
              <w:rPr>
                <w:rFonts w:ascii="宋体" w:eastAsia="宋体" w:cs="Times New Roman" w:hint="eastAsia"/>
                <w:kern w:val="2"/>
                <w:sz w:val="21"/>
                <w:szCs w:val="21"/>
              </w:rPr>
              <w:t xml:space="preserve"> 七、服务要求共27条（1.供应商服务标准共18条  包括1.2-1.5共4条，2.3-2.5共3条，3.1-3.4共4条，4.2-4.3共2条，维修服务要求1条，备件保障服务要求2条，合法合规要求1条，技术资料及文档要求1条。 2.硬件、软件制造商服务标准共3条。3.人员资格标准共3条。4.服务网络标准共3条。）；八、实施要求共16条（1.项目实施过程控制共10条，4.项目实施进度安排共1条，6项目验收安排1条，7.项目培训安排共3条，9.交付或实施地点共1条）</w:t>
            </w:r>
          </w:p>
        </w:tc>
      </w:tr>
    </w:tbl>
    <w:p>
      <w:pPr>
        <w:spacing w:line="560" w:lineRule="exact"/>
        <w:ind w:firstLine="420" w:firstLineChars="200"/>
        <w:rPr>
          <w:rFonts w:ascii="宋体" w:eastAsia="宋体" w:cs="Times New Roman"/>
          <w:b/>
          <w:bCs/>
          <w:kern w:val="2"/>
        </w:rPr>
      </w:pPr>
      <w:r>
        <w:rPr>
          <w:rFonts w:ascii="宋体" w:eastAsia="宋体" w:cs="Times New Roman" w:hint="eastAsia"/>
          <w:b/>
          <w:bCs/>
          <w:kern w:val="2"/>
        </w:rPr>
        <w:t>备注：</w:t>
      </w:r>
    </w:p>
    <w:p>
      <w:pPr>
        <w:spacing w:line="560" w:lineRule="exact"/>
        <w:ind w:firstLine="420" w:firstLineChars="200"/>
        <w:rPr>
          <w:rFonts w:ascii="宋体" w:eastAsia="宋体" w:cs="Times New Roman"/>
          <w:kern w:val="2"/>
        </w:rPr>
      </w:pPr>
      <w:r>
        <w:rPr>
          <w:rFonts w:ascii="宋体" w:eastAsia="宋体" w:cs="Times New Roman" w:hint="eastAsia"/>
          <w:kern w:val="2"/>
        </w:rPr>
        <w:t>①表格内容填写完整、规范，确保无缺漏项。</w:t>
      </w:r>
    </w:p>
    <w:p>
      <w:pPr>
        <w:spacing w:line="560" w:lineRule="exact"/>
        <w:ind w:firstLine="420" w:firstLineChars="200"/>
        <w:rPr>
          <w:rFonts w:ascii="宋体" w:eastAsia="宋体"/>
        </w:rPr>
      </w:pPr>
      <w:r>
        <w:rPr>
          <w:rFonts w:ascii="宋体" w:eastAsia="宋体" w:hint="eastAsia"/>
        </w:rPr>
        <w:t>②第</w:t>
      </w:r>
      <w:r>
        <w:rPr>
          <w:rFonts w:ascii="宋体" w:eastAsia="宋体"/>
        </w:rPr>
        <w:t>五</w:t>
      </w:r>
      <w:r>
        <w:rPr>
          <w:rFonts w:ascii="宋体" w:eastAsia="宋体" w:hint="eastAsia"/>
        </w:rPr>
        <w:t>部分至第</w:t>
      </w:r>
      <w:r>
        <w:rPr>
          <w:rFonts w:ascii="宋体" w:eastAsia="宋体"/>
        </w:rPr>
        <w:t>九</w:t>
      </w:r>
      <w:r>
        <w:rPr>
          <w:rFonts w:ascii="宋体" w:eastAsia="宋体" w:hint="eastAsia"/>
        </w:rPr>
        <w:t>部分（集成需求、货物或服务指标要求、服务要求、实施</w:t>
      </w:r>
      <w:r>
        <w:rPr>
          <w:rFonts w:ascii="宋体" w:eastAsia="宋体"/>
        </w:rPr>
        <w:t>要求、其它内容</w:t>
      </w:r>
      <w:r>
        <w:rPr>
          <w:rFonts w:ascii="宋体" w:eastAsia="宋体" w:hint="eastAsia"/>
        </w:rPr>
        <w:t>）内容需按照法律规定将评审因素细化、量化，制定科学合理评分标准，第</w:t>
      </w:r>
      <w:r>
        <w:rPr>
          <w:rFonts w:ascii="宋体" w:eastAsia="宋体"/>
        </w:rPr>
        <w:t>四</w:t>
      </w:r>
      <w:r>
        <w:rPr>
          <w:rFonts w:ascii="宋体" w:eastAsia="宋体" w:hint="eastAsia"/>
        </w:rPr>
        <w:t>部分（项目概述）根据具体内容研判是否设置评分标准。</w:t>
      </w:r>
    </w:p>
    <w:p>
      <w:pPr>
        <w:spacing w:line="560" w:lineRule="exact"/>
        <w:ind w:firstLine="420" w:firstLineChars="200"/>
        <w:rPr>
          <w:rFonts w:ascii="Times New Roman" w:eastAsia="宋体" w:hAnsi="Times New Roman" w:cs="Times New Roman"/>
          <w:kern w:val="2"/>
          <w:sz w:val="32"/>
          <w:szCs w:val="32"/>
        </w:rPr>
      </w:pPr>
      <w:r>
        <w:rPr>
          <w:rFonts w:ascii="宋体" w:eastAsia="宋体"/>
        </w:rPr>
        <w:t>③需统计重要指标项和一般指标项数量，并分别填入《技术服务需求响应程度表》。</w:t>
      </w:r>
    </w:p>
    <w:p>
      <w:pPr>
        <w:pStyle w:val="BodyText3"/>
        <w:rPr>
          <w:rFonts w:eastAsia="宋体"/>
        </w:rPr>
        <w:sectPr>
          <w:footerReference w:type="even" r:id="rId5"/>
          <w:footerReference w:type="default" r:id="rId6"/>
          <w:pgSz w:w="11907" w:h="16840"/>
          <w:pgMar w:top="1440" w:right="1797" w:bottom="1440" w:left="1797" w:header="851" w:footer="992" w:gutter="0"/>
          <w:pgNumType w:start="1"/>
          <w:cols w:space="720"/>
          <w:docGrid w:linePitch="360" w:charSpace="6144"/>
        </w:sectPr>
      </w:pPr>
    </w:p>
    <w:p>
      <w:pPr>
        <w:autoSpaceDN w:val="0"/>
        <w:spacing w:line="240" w:lineRule="auto"/>
        <w:ind w:firstLine="0"/>
        <w:jc w:val="left"/>
        <w:rPr>
          <w:rFonts w:ascii="Times New Roman" w:eastAsia="宋体" w:hAnsi="Times New Roman" w:cs="Times New Roman"/>
          <w:kern w:val="2"/>
          <w:sz w:val="32"/>
          <w:szCs w:val="32"/>
        </w:rPr>
      </w:pPr>
      <w:r>
        <w:rPr>
          <w:rFonts w:ascii="Times New Roman" w:eastAsia="宋体" w:hAnsi="Times New Roman" w:cs="Times New Roman" w:hint="eastAsia"/>
          <w:b/>
          <w:bCs/>
          <w:kern w:val="2"/>
          <w:sz w:val="32"/>
          <w:szCs w:val="32"/>
        </w:rPr>
        <w:t>附件</w:t>
      </w:r>
      <w:r>
        <w:rPr>
          <w:rFonts w:ascii="Times New Roman" w:eastAsia="宋体" w:hAnsi="Times New Roman" w:cs="Times New Roman"/>
          <w:b/>
          <w:bCs/>
          <w:kern w:val="2"/>
          <w:sz w:val="32"/>
          <w:szCs w:val="32"/>
        </w:rPr>
        <w:t>1</w:t>
      </w:r>
      <w:r>
        <w:rPr>
          <w:rFonts w:ascii="Times New Roman" w:eastAsia="宋体" w:hAnsi="Times New Roman" w:cs="Times New Roman" w:hint="eastAsia"/>
          <w:b/>
          <w:bCs/>
          <w:kern w:val="2"/>
          <w:sz w:val="32"/>
          <w:szCs w:val="32"/>
        </w:rPr>
        <w:t>《设备明细表》</w:t>
      </w:r>
    </w:p>
    <w:p>
      <w:pPr>
        <w:autoSpaceDN w:val="0"/>
        <w:spacing w:line="240" w:lineRule="auto"/>
        <w:ind w:firstLine="0"/>
        <w:jc w:val="left"/>
        <w:rPr>
          <w:rFonts w:ascii="等线" w:eastAsia="等线" w:cs="宋体"/>
          <w:b/>
          <w:bCs/>
          <w:kern w:val="2"/>
          <w:sz w:val="32"/>
          <w:szCs w:val="32"/>
        </w:rPr>
      </w:pPr>
    </w:p>
    <w:tbl>
      <w:tblPr>
        <w:tblW w:w="15238" w:type="dxa"/>
        <w:jc w:val="left"/>
        <w:tblInd w:w="10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764"/>
        <w:gridCol w:w="1755"/>
        <w:gridCol w:w="1920"/>
        <w:gridCol w:w="3120"/>
        <w:gridCol w:w="1440"/>
        <w:gridCol w:w="1440"/>
        <w:gridCol w:w="1680"/>
        <w:gridCol w:w="3119"/>
      </w:tblGrid>
      <w:tr>
        <w:tblPrEx>
          <w:tblW w:w="15238" w:type="dxa"/>
          <w:jc w:val="left"/>
          <w:tblInd w:w="10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47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b/>
                <w:bCs/>
                <w:kern w:val="2"/>
                <w:sz w:val="20"/>
                <w:szCs w:val="20"/>
              </w:rPr>
            </w:pPr>
            <w:r>
              <w:rPr>
                <w:rFonts w:ascii="宋体" w:eastAsia="宋体" w:cs="Times New Roman" w:hint="eastAsia"/>
                <w:b/>
                <w:bCs/>
                <w:kern w:val="2"/>
                <w:sz w:val="20"/>
                <w:szCs w:val="20"/>
              </w:rPr>
              <w:t>序号</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b/>
                <w:bCs/>
                <w:kern w:val="2"/>
                <w:sz w:val="20"/>
                <w:szCs w:val="20"/>
              </w:rPr>
            </w:pPr>
            <w:r>
              <w:rPr>
                <w:rFonts w:ascii="宋体" w:eastAsia="宋体" w:cs="Times New Roman" w:hint="eastAsia"/>
                <w:b/>
                <w:bCs/>
                <w:kern w:val="2"/>
                <w:sz w:val="20"/>
                <w:szCs w:val="20"/>
              </w:rPr>
              <w:t>直属海关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b/>
                <w:bCs/>
                <w:kern w:val="2"/>
                <w:sz w:val="20"/>
                <w:szCs w:val="20"/>
              </w:rPr>
            </w:pPr>
            <w:r>
              <w:rPr>
                <w:rFonts w:ascii="宋体" w:eastAsia="宋体" w:cs="Times New Roman" w:hint="eastAsia"/>
                <w:b/>
                <w:bCs/>
                <w:kern w:val="2"/>
                <w:sz w:val="20"/>
                <w:szCs w:val="20"/>
              </w:rPr>
              <w:t>隶属海关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b/>
                <w:bCs/>
                <w:kern w:val="2"/>
                <w:sz w:val="20"/>
                <w:szCs w:val="20"/>
              </w:rPr>
            </w:pPr>
            <w:r>
              <w:rPr>
                <w:rFonts w:ascii="宋体" w:eastAsia="宋体" w:cs="Times New Roman" w:hint="eastAsia"/>
                <w:b/>
                <w:bCs/>
                <w:kern w:val="2"/>
                <w:sz w:val="20"/>
                <w:szCs w:val="20"/>
              </w:rPr>
              <w:t>设备地点</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b/>
                <w:bCs/>
                <w:kern w:val="2"/>
                <w:sz w:val="20"/>
                <w:szCs w:val="20"/>
              </w:rPr>
            </w:pPr>
            <w:r>
              <w:rPr>
                <w:rFonts w:ascii="宋体" w:eastAsia="宋体" w:cs="Times New Roman" w:hint="eastAsia"/>
                <w:b/>
                <w:bCs/>
                <w:kern w:val="2"/>
                <w:sz w:val="20"/>
                <w:szCs w:val="20"/>
              </w:rPr>
              <w:t>设备型号</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b/>
                <w:bCs/>
                <w:kern w:val="2"/>
                <w:sz w:val="20"/>
                <w:szCs w:val="20"/>
              </w:rPr>
            </w:pPr>
            <w:r>
              <w:rPr>
                <w:rFonts w:ascii="宋体" w:eastAsia="宋体" w:cs="Times New Roman" w:hint="eastAsia"/>
                <w:b/>
                <w:bCs/>
                <w:kern w:val="2"/>
                <w:sz w:val="20"/>
                <w:szCs w:val="20"/>
              </w:rPr>
              <w:t>H986</w:t>
              <w:br/>
              <w:t>类型</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b/>
                <w:bCs/>
                <w:kern w:val="2"/>
                <w:sz w:val="20"/>
                <w:szCs w:val="20"/>
              </w:rPr>
            </w:pPr>
            <w:r>
              <w:rPr>
                <w:rFonts w:ascii="宋体" w:eastAsia="宋体" w:cs="Times New Roman" w:hint="eastAsia"/>
                <w:b/>
                <w:bCs/>
                <w:kern w:val="2"/>
                <w:sz w:val="20"/>
                <w:szCs w:val="20"/>
              </w:rPr>
              <w:t>厂家</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b/>
                <w:bCs/>
                <w:kern w:val="2"/>
                <w:sz w:val="20"/>
                <w:szCs w:val="20"/>
              </w:rPr>
            </w:pPr>
            <w:r>
              <w:rPr>
                <w:rFonts w:ascii="宋体" w:eastAsia="宋体" w:cs="Times New Roman" w:hint="eastAsia"/>
                <w:b/>
                <w:bCs/>
                <w:kern w:val="2"/>
                <w:sz w:val="20"/>
                <w:szCs w:val="20"/>
              </w:rPr>
              <w:t>运维起止时间</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1</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福州海关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马尾海关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马尾海关查验中心</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FMP-DV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固定式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2</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广州海关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佛山海关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佛山三水港</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PDS6000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通道式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3</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广州海关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清远海关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清远港</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4</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哈尔滨海关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东宁海关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东宁海关</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FMG-DV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5</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哈尔滨海关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绥芬河海关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绥芬河海关</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TFG-DV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列车式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6</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哈尔滨海关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绥芬河海关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绥芬河海关</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FMG-DV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7</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呼和浩特海关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二连海关二连边民互市贸易区</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8</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呼和浩特海关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二连海关二连公路986出境</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FMG-DV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47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9</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呼和浩特海关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二连海关二连公路口岸986入境</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FMG-DV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47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10</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呼和浩特海关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二连海关二连铁路986-DV出境</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TFG-DV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列车式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11</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呼和浩特海关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二连海关小车出境</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PVS450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乘用车</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12</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呼和浩特海关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二连海关小车入境</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PVS450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乘用车</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47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13</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呼和浩特海关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二连海关铁路986入境（更新）</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TFG</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列车式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14</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呼和浩特海关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乌拉特海关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乌拉特海关甘其毛都口岸</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PVS450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乘用车</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15</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黄埔海关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长安办事处</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东莞市长安口岸车检场</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16</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江门海关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台山海关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（台山）公益港货运码头</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17</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昆明海关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勐腊海关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勐腊海关磨憨口岸边民互市场</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18</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昆明海关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孟连海关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孟连口岸勐阿查验现场</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19</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昆明海关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瑞丽口岸</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瑞丽海关出口货场</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RMG7000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20</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昆明海关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腾冲海关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（腾冲）猴桥口岸联检楼</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PVS450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乘用车</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21</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昆明海关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腾冲海关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腾冲海关猴桥口岸货检中心</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47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22</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昆明海关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天保海关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天保海关天保口岸边民互市货场</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23</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满洲里海关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额尔古纳海关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额尔古纳海关黑山头口岸</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PVS450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乘用车</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24</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满洲里海关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阿日哈沙特海关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阿日哈沙特海关</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PVS450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乘用车</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47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25</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满洲里海关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十八里海关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十八里海关满洲里公路口岸货运场地</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47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26</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满洲里海关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满洲里海关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车站海关满洲里铁路口岸进境通道</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TFG</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列车式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47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27</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满洲里海关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十八里办事处</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十八里海关满洲里公路口岸客检场地</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PVS450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乘用车</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28</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满洲里海关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十八里办事处</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满洲里公路口岸入境货运场地</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FMG-DV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29</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南京海关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无锡海关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张家港保税港务码头</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30</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南宁海关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贵港海关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贵港海关罗泊湾监管区</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31</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南宁海关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水口海关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水口互市</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RMG7000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47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32</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宁波海关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大榭海关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大榭海关招商国际码头查验场地</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33</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青岛海关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大港海关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大港海关邮轮母港查验现场</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47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34</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青岛海关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黄岛海关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黄岛海关前湾港(现安装董家口）</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35</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青岛海关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黄岛海关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黄岛海关自动化码头-1</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RTG6000-AGV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36</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青岛海关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黄岛海关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黄岛海关自动化码头-2</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RTG6000-AGV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37</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青岛海关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胶州海关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胶州海关中铁联集监管区</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38</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沈阳海关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锦州海关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锦州海关</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39</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石家庄海关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京唐港海关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京唐港海关</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FMG-DV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40</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石家庄海关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秦皇岛海关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秦皇岛港新港湾码头</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FMG-DV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47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41</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乌鲁木齐海关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霍尔果斯海关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霍尔果斯海关霍尔果斯出境货检</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RMG7000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47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42</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乌鲁木齐海关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霍尔果斯海关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霍尔果斯海关公路986入境更新</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FMG-DV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43</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乌鲁木齐海关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霍尔果斯海关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霍尔果斯海关旅检</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RMG7000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44</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乌鲁木齐海关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霍尔果斯海关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霍尔果斯海关入境货检</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RMG7000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45</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乌鲁木齐海关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霍尔果斯海关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霍尔果斯海关铁路986出境</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TFG-DV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列车式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46</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乌鲁木齐海关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霍尔果斯海关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霍尔果斯海关铁路入境</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TFG-DV</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列车式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47</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武汉海关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黄石海关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黄石新港现场业务处</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RMG7000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48</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武汉海关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荆州海关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盐卡海关监管场所</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49</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武汉海关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现场业务处</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中铁联集业务现场</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RMG7000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50</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武汉海关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宜昌海关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宜昌海关云池港海关监管场所</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51</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湛江海关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霞山海关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霞山海关宝满港集装箱码头</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52</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长春海关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通化海关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通化海关集安老虎哨口岸</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53</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长沙海关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星沙海关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长沙北站铁路货运站</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47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54</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郑州海关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驻铁路东站</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郑州国际陆港多式联运海关监管中心</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RMG6000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组合移动式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55</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长春海关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图们海关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图们公路口岸</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RTG6000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自行走式</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r>
        <w:tblPrEx>
          <w:tblW w:w="15238" w:type="dxa"/>
          <w:jc w:val="left"/>
          <w:tblInd w:w="108" w:type="dxa"/>
          <w:tblLayout w:type="fixed"/>
          <w:tblCellMar>
            <w:top w:w="0" w:type="dxa"/>
            <w:left w:w="108" w:type="dxa"/>
            <w:bottom w:w="0" w:type="dxa"/>
            <w:right w:w="108" w:type="dxa"/>
          </w:tblCellMar>
        </w:tblPrEx>
        <w:trPr>
          <w:trHeight w:val="269"/>
          <w:jc w:val="left"/>
        </w:trPr>
        <w:tc>
          <w:tcPr>
            <w:tcW w:w="764"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56</w:t>
            </w:r>
          </w:p>
        </w:tc>
        <w:tc>
          <w:tcPr>
            <w:tcW w:w="1755"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南宁海关</w:t>
            </w:r>
          </w:p>
        </w:tc>
        <w:tc>
          <w:tcPr>
            <w:tcW w:w="19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水口海关</w:t>
            </w:r>
          </w:p>
        </w:tc>
        <w:tc>
          <w:tcPr>
            <w:tcW w:w="312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水口那花互市点</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LVS4000</w:t>
            </w: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轻型车</w:t>
            </w:r>
          </w:p>
        </w:tc>
        <w:tc>
          <w:tcPr>
            <w:tcW w:w="1680"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hint="eastAsia"/>
                <w:kern w:val="2"/>
                <w:sz w:val="20"/>
                <w:szCs w:val="20"/>
              </w:rPr>
              <w:t>华力兴</w:t>
            </w:r>
          </w:p>
        </w:tc>
        <w:tc>
          <w:tcPr>
            <w:tcW w:w="3119" w:type="dxa"/>
            <w:tcBorders>
              <w:top w:val="single" w:sz="6" w:space="0" w:color="auto"/>
              <w:left w:val="single" w:sz="6" w:space="0" w:color="auto"/>
              <w:bottom w:val="single" w:sz="6" w:space="0" w:color="auto"/>
              <w:right w:val="single" w:sz="6" w:space="0" w:color="auto"/>
            </w:tcBorders>
            <w:noWrap/>
            <w:vAlign w:val="center"/>
          </w:tcPr>
          <w:p>
            <w:pPr>
              <w:autoSpaceDN w:val="0"/>
              <w:adjustRightInd w:val="0"/>
              <w:snapToGrid w:val="0"/>
              <w:spacing w:line="240" w:lineRule="auto"/>
              <w:ind w:firstLine="0"/>
              <w:jc w:val="center"/>
              <w:rPr>
                <w:rFonts w:ascii="宋体" w:eastAsia="宋体" w:cs="Times New Roman"/>
                <w:kern w:val="2"/>
                <w:sz w:val="20"/>
                <w:szCs w:val="20"/>
              </w:rPr>
            </w:pPr>
            <w:r>
              <w:rPr>
                <w:rFonts w:ascii="宋体" w:eastAsia="宋体" w:cs="Times New Roman"/>
                <w:kern w:val="2"/>
                <w:sz w:val="21"/>
                <w:szCs w:val="21"/>
                <w:lang w:bidi="en-US"/>
              </w:rPr>
              <w:t>合同签订之日起计算</w:t>
            </w:r>
            <w:r>
              <w:rPr>
                <w:rFonts w:ascii="宋体" w:eastAsia="宋体" w:cs="Times New Roman" w:hint="eastAsia"/>
                <w:kern w:val="2"/>
                <w:sz w:val="21"/>
                <w:szCs w:val="21"/>
                <w:lang w:bidi="en-US"/>
              </w:rPr>
              <w:t>12个月</w:t>
            </w:r>
          </w:p>
        </w:tc>
      </w:tr>
    </w:tbl>
    <w:p>
      <w:pPr>
        <w:autoSpaceDN w:val="0"/>
        <w:adjustRightInd w:val="0"/>
        <w:snapToGrid w:val="0"/>
        <w:spacing w:line="240" w:lineRule="auto"/>
        <w:ind w:firstLine="0"/>
        <w:jc w:val="left"/>
        <w:rPr>
          <w:rFonts w:ascii="Times New Roman" w:eastAsia="宋体" w:hAnsi="Times New Roman" w:cs="宋体"/>
          <w:b/>
          <w:bCs/>
          <w:kern w:val="2"/>
          <w:sz w:val="28"/>
          <w:szCs w:val="28"/>
        </w:rPr>
      </w:pPr>
    </w:p>
    <w:p>
      <w:pPr>
        <w:autoSpaceDN w:val="0"/>
        <w:adjustRightInd w:val="0"/>
        <w:snapToGrid w:val="0"/>
        <w:spacing w:line="240" w:lineRule="auto"/>
        <w:ind w:firstLine="0"/>
        <w:jc w:val="left"/>
        <w:rPr>
          <w:rFonts w:ascii="Times New Roman" w:eastAsia="宋体" w:hAnsi="Times New Roman" w:cs="宋体"/>
          <w:b/>
          <w:bCs/>
          <w:kern w:val="2"/>
          <w:sz w:val="28"/>
          <w:szCs w:val="28"/>
        </w:rPr>
      </w:pPr>
    </w:p>
    <w:p>
      <w:pPr>
        <w:autoSpaceDN w:val="0"/>
        <w:adjustRightInd w:val="0"/>
        <w:snapToGrid w:val="0"/>
        <w:spacing w:line="240" w:lineRule="auto"/>
        <w:ind w:firstLine="0"/>
        <w:jc w:val="left"/>
        <w:rPr>
          <w:rFonts w:ascii="Times New Roman" w:eastAsia="宋体" w:hAnsi="Times New Roman" w:cs="宋体"/>
          <w:b/>
          <w:bCs/>
          <w:kern w:val="2"/>
          <w:sz w:val="28"/>
          <w:szCs w:val="28"/>
        </w:rPr>
      </w:pPr>
    </w:p>
    <w:p>
      <w:pPr>
        <w:autoSpaceDN w:val="0"/>
        <w:adjustRightInd w:val="0"/>
        <w:snapToGrid w:val="0"/>
        <w:spacing w:line="240" w:lineRule="auto"/>
        <w:ind w:firstLine="0"/>
        <w:jc w:val="left"/>
        <w:rPr>
          <w:rFonts w:ascii="Times New Roman" w:eastAsia="宋体" w:hAnsi="Times New Roman" w:cs="宋体"/>
          <w:b/>
          <w:bCs/>
          <w:kern w:val="2"/>
          <w:sz w:val="28"/>
          <w:szCs w:val="28"/>
        </w:rPr>
      </w:pPr>
    </w:p>
    <w:p>
      <w:pPr>
        <w:autoSpaceDN w:val="0"/>
        <w:adjustRightInd w:val="0"/>
        <w:snapToGrid w:val="0"/>
        <w:spacing w:line="240" w:lineRule="auto"/>
        <w:ind w:firstLine="0"/>
        <w:jc w:val="left"/>
        <w:rPr>
          <w:rFonts w:ascii="Times New Roman" w:eastAsia="宋体" w:hAnsi="Times New Roman" w:cs="宋体"/>
          <w:b/>
          <w:bCs/>
          <w:kern w:val="2"/>
          <w:sz w:val="28"/>
          <w:szCs w:val="28"/>
        </w:rPr>
      </w:pPr>
    </w:p>
    <w:p>
      <w:pPr>
        <w:autoSpaceDN w:val="0"/>
        <w:adjustRightInd w:val="0"/>
        <w:snapToGrid w:val="0"/>
        <w:spacing w:line="240" w:lineRule="auto"/>
        <w:ind w:firstLine="0"/>
        <w:jc w:val="left"/>
        <w:rPr>
          <w:rFonts w:ascii="Times New Roman" w:eastAsia="宋体" w:hAnsi="Times New Roman" w:cs="宋体"/>
          <w:b/>
          <w:bCs/>
          <w:kern w:val="2"/>
          <w:sz w:val="28"/>
          <w:szCs w:val="28"/>
        </w:rPr>
      </w:pPr>
    </w:p>
    <w:p>
      <w:pPr>
        <w:autoSpaceDN w:val="0"/>
        <w:adjustRightInd w:val="0"/>
        <w:snapToGrid w:val="0"/>
        <w:spacing w:line="240" w:lineRule="auto"/>
        <w:ind w:firstLine="0"/>
        <w:jc w:val="left"/>
        <w:rPr>
          <w:rFonts w:ascii="Times New Roman" w:eastAsia="宋体" w:hAnsi="Times New Roman" w:cs="宋体"/>
          <w:b/>
          <w:bCs/>
          <w:kern w:val="2"/>
          <w:sz w:val="28"/>
          <w:szCs w:val="28"/>
        </w:rPr>
      </w:pPr>
    </w:p>
    <w:p>
      <w:pPr>
        <w:autoSpaceDN w:val="0"/>
        <w:adjustRightInd w:val="0"/>
        <w:snapToGrid w:val="0"/>
        <w:spacing w:line="240" w:lineRule="auto"/>
        <w:ind w:firstLine="0"/>
        <w:jc w:val="left"/>
        <w:rPr>
          <w:rFonts w:ascii="Times New Roman" w:eastAsia="宋体" w:hAnsi="Times New Roman" w:cs="宋体"/>
          <w:b/>
          <w:bCs/>
          <w:kern w:val="2"/>
          <w:sz w:val="28"/>
          <w:szCs w:val="28"/>
        </w:rPr>
      </w:pPr>
    </w:p>
    <w:p>
      <w:pPr>
        <w:autoSpaceDN w:val="0"/>
        <w:adjustRightInd w:val="0"/>
        <w:snapToGrid w:val="0"/>
        <w:spacing w:line="240" w:lineRule="auto"/>
        <w:ind w:firstLine="0"/>
        <w:jc w:val="left"/>
        <w:rPr>
          <w:rFonts w:ascii="Times New Roman" w:eastAsia="宋体" w:hAnsi="Times New Roman" w:cs="宋体"/>
          <w:b/>
          <w:bCs/>
          <w:kern w:val="2"/>
          <w:sz w:val="28"/>
          <w:szCs w:val="28"/>
        </w:rPr>
      </w:pPr>
    </w:p>
    <w:p>
      <w:pPr>
        <w:autoSpaceDN w:val="0"/>
        <w:adjustRightInd w:val="0"/>
        <w:snapToGrid w:val="0"/>
        <w:spacing w:line="240" w:lineRule="auto"/>
        <w:ind w:firstLine="0"/>
        <w:jc w:val="left"/>
        <w:rPr>
          <w:rFonts w:ascii="Times New Roman" w:eastAsia="宋体" w:hAnsi="Times New Roman" w:cs="宋体"/>
          <w:b/>
          <w:bCs/>
          <w:kern w:val="2"/>
          <w:sz w:val="28"/>
          <w:szCs w:val="28"/>
        </w:rPr>
      </w:pPr>
    </w:p>
    <w:p>
      <w:pPr>
        <w:autoSpaceDN w:val="0"/>
        <w:adjustRightInd w:val="0"/>
        <w:snapToGrid w:val="0"/>
        <w:spacing w:line="240" w:lineRule="auto"/>
        <w:ind w:firstLine="0"/>
        <w:jc w:val="left"/>
        <w:rPr>
          <w:rFonts w:ascii="Times New Roman" w:eastAsia="宋体" w:hAnsi="Times New Roman" w:cs="宋体"/>
          <w:b/>
          <w:bCs/>
          <w:kern w:val="2"/>
          <w:sz w:val="28"/>
          <w:szCs w:val="28"/>
        </w:rPr>
      </w:pPr>
    </w:p>
    <w:p>
      <w:pPr>
        <w:autoSpaceDN w:val="0"/>
        <w:adjustRightInd w:val="0"/>
        <w:snapToGrid w:val="0"/>
        <w:spacing w:line="240" w:lineRule="auto"/>
        <w:ind w:firstLine="0"/>
        <w:jc w:val="left"/>
        <w:rPr>
          <w:rFonts w:ascii="Times New Roman" w:eastAsia="宋体" w:hAnsi="Times New Roman" w:cs="宋体"/>
          <w:b/>
          <w:bCs/>
          <w:kern w:val="2"/>
          <w:sz w:val="28"/>
          <w:szCs w:val="28"/>
        </w:rPr>
      </w:pPr>
    </w:p>
    <w:p>
      <w:pPr>
        <w:autoSpaceDN w:val="0"/>
        <w:adjustRightInd w:val="0"/>
        <w:snapToGrid w:val="0"/>
        <w:spacing w:line="240" w:lineRule="auto"/>
        <w:ind w:firstLine="0"/>
        <w:jc w:val="left"/>
        <w:rPr>
          <w:rFonts w:ascii="Times New Roman" w:eastAsia="宋体" w:hAnsi="Times New Roman" w:cs="宋体"/>
          <w:b/>
          <w:bCs/>
          <w:kern w:val="2"/>
          <w:sz w:val="28"/>
          <w:szCs w:val="28"/>
        </w:rPr>
      </w:pPr>
    </w:p>
    <w:p>
      <w:pPr>
        <w:autoSpaceDN w:val="0"/>
        <w:adjustRightInd w:val="0"/>
        <w:snapToGrid w:val="0"/>
        <w:spacing w:line="240" w:lineRule="auto"/>
        <w:ind w:firstLine="0"/>
        <w:jc w:val="left"/>
        <w:rPr>
          <w:rFonts w:ascii="Times New Roman" w:eastAsia="宋体" w:hAnsi="Times New Roman" w:cs="宋体"/>
          <w:b/>
          <w:bCs/>
          <w:kern w:val="2"/>
          <w:sz w:val="28"/>
          <w:szCs w:val="28"/>
        </w:rPr>
        <w:sectPr>
          <w:headerReference w:type="even" r:id="rId7"/>
          <w:headerReference w:type="default" r:id="rId8"/>
          <w:footerReference w:type="even" r:id="rId9"/>
          <w:headerReference w:type="first" r:id="rId10"/>
          <w:footerReference w:type="first" r:id="rId11"/>
          <w:pgSz w:w="16840" w:h="11907" w:orient="landscape"/>
          <w:pgMar w:top="1797" w:right="1440" w:bottom="1797" w:left="1440" w:header="851" w:footer="851" w:gutter="0"/>
          <w:cols w:space="720"/>
          <w:docGrid w:linePitch="312" w:charSpace="0"/>
        </w:sectPr>
      </w:pPr>
    </w:p>
    <w:p>
      <w:pPr>
        <w:autoSpaceDN w:val="0"/>
        <w:adjustRightInd w:val="0"/>
        <w:snapToGrid w:val="0"/>
        <w:spacing w:line="240" w:lineRule="auto"/>
        <w:ind w:firstLine="0"/>
        <w:jc w:val="left"/>
        <w:rPr>
          <w:rFonts w:ascii="Times New Roman" w:eastAsia="宋体" w:hAnsi="Times New Roman" w:cs="Times New Roman"/>
          <w:b/>
          <w:bCs/>
          <w:kern w:val="2"/>
          <w:sz w:val="28"/>
          <w:szCs w:val="28"/>
        </w:rPr>
      </w:pPr>
      <w:bookmarkStart w:id="31" w:name="_GoBack"/>
      <w:bookmarkEnd w:id="31"/>
      <w:r>
        <w:rPr>
          <w:rFonts w:ascii="Times New Roman" w:eastAsia="宋体" w:hAnsi="Times New Roman" w:cs="宋体" w:hint="eastAsia"/>
          <w:b/>
          <w:bCs/>
          <w:kern w:val="2"/>
          <w:sz w:val="28"/>
          <w:szCs w:val="28"/>
        </w:rPr>
        <w:t>附件</w:t>
      </w:r>
      <w:r>
        <w:rPr>
          <w:rFonts w:ascii="Times New Roman" w:eastAsia="宋体" w:hAnsi="Times New Roman" w:cs="Times New Roman"/>
          <w:b/>
          <w:bCs/>
          <w:kern w:val="2"/>
          <w:sz w:val="28"/>
          <w:szCs w:val="28"/>
        </w:rPr>
        <w:t>2</w:t>
      </w:r>
      <w:r>
        <w:rPr>
          <w:rFonts w:ascii="Times New Roman" w:eastAsia="宋体" w:hAnsi="Times New Roman" w:cs="宋体" w:hint="eastAsia"/>
          <w:b/>
          <w:bCs/>
          <w:kern w:val="2"/>
          <w:sz w:val="28"/>
          <w:szCs w:val="28"/>
        </w:rPr>
        <w:t>《故障及分类》</w:t>
      </w:r>
    </w:p>
    <w:p>
      <w:pPr>
        <w:autoSpaceDN w:val="0"/>
        <w:adjustRightInd w:val="0"/>
        <w:snapToGrid w:val="0"/>
        <w:spacing w:line="240" w:lineRule="auto"/>
        <w:ind w:firstLine="420"/>
        <w:rPr>
          <w:rFonts w:ascii="Times New Roman" w:eastAsia="宋体" w:hAnsi="Times New Roman" w:cs="Times New Roman"/>
          <w:color w:val="000000"/>
          <w:kern w:val="2"/>
          <w:sz w:val="21"/>
        </w:rPr>
      </w:pPr>
      <w:r>
        <w:rPr>
          <w:rFonts w:ascii="Times New Roman" w:eastAsia="宋体" w:hAnsi="Times New Roman" w:cs="宋体" w:hint="eastAsia"/>
          <w:color w:val="000000"/>
          <w:kern w:val="2"/>
          <w:sz w:val="21"/>
        </w:rPr>
        <w:t>故障是指系统中部分元器件功能失效而导致整个系统不能执行规定功能的状态。</w:t>
      </w:r>
    </w:p>
    <w:p>
      <w:pPr>
        <w:autoSpaceDN w:val="0"/>
        <w:adjustRightInd w:val="0"/>
        <w:snapToGrid w:val="0"/>
        <w:spacing w:line="240" w:lineRule="auto"/>
        <w:ind w:firstLine="420"/>
        <w:rPr>
          <w:rFonts w:ascii="Times New Roman" w:eastAsia="宋体" w:hAnsi="Times New Roman" w:cs="Times New Roman"/>
          <w:color w:val="000000"/>
          <w:kern w:val="2"/>
          <w:sz w:val="21"/>
        </w:rPr>
      </w:pPr>
      <w:r>
        <w:rPr>
          <w:rFonts w:ascii="Times New Roman" w:eastAsia="宋体" w:hAnsi="Times New Roman" w:cs="宋体" w:hint="eastAsia"/>
          <w:color w:val="000000"/>
          <w:kern w:val="2"/>
          <w:sz w:val="21"/>
        </w:rPr>
        <w:t>故障开始时间：影响客户使用或客户报修的时间；</w:t>
      </w:r>
    </w:p>
    <w:p>
      <w:pPr>
        <w:autoSpaceDN w:val="0"/>
        <w:adjustRightInd w:val="0"/>
        <w:snapToGrid w:val="0"/>
        <w:spacing w:line="240" w:lineRule="auto"/>
        <w:ind w:firstLine="420"/>
        <w:rPr>
          <w:rFonts w:ascii="Times New Roman" w:eastAsia="宋体" w:hAnsi="Times New Roman" w:cs="Times New Roman"/>
          <w:color w:val="000000"/>
          <w:kern w:val="2"/>
          <w:sz w:val="21"/>
        </w:rPr>
      </w:pPr>
      <w:r>
        <w:rPr>
          <w:rFonts w:ascii="Times New Roman" w:eastAsia="宋体" w:hAnsi="Times New Roman" w:cs="宋体" w:hint="eastAsia"/>
          <w:color w:val="000000"/>
          <w:kern w:val="2"/>
          <w:sz w:val="21"/>
        </w:rPr>
        <w:t>故障结束时间：系统修复并交付客户正常使用的时间。</w:t>
      </w:r>
    </w:p>
    <w:p>
      <w:pPr>
        <w:autoSpaceDN w:val="0"/>
        <w:adjustRightInd w:val="0"/>
        <w:snapToGrid w:val="0"/>
        <w:spacing w:line="240" w:lineRule="auto"/>
        <w:ind w:firstLine="420"/>
        <w:rPr>
          <w:rFonts w:ascii="Times New Roman" w:eastAsia="宋体" w:hAnsi="Times New Roman" w:cs="Times New Roman"/>
          <w:color w:val="000000"/>
          <w:kern w:val="2"/>
          <w:sz w:val="21"/>
        </w:rPr>
      </w:pPr>
      <w:r>
        <w:rPr>
          <w:rFonts w:ascii="Times New Roman" w:eastAsia="宋体" w:hAnsi="Times New Roman" w:cs="宋体" w:hint="eastAsia"/>
          <w:color w:val="000000"/>
          <w:kern w:val="2"/>
          <w:sz w:val="21"/>
        </w:rPr>
        <w:t>故障处置要求：一般故障的修复时限为</w:t>
      </w:r>
      <w:r>
        <w:rPr>
          <w:rFonts w:ascii="Times New Roman" w:eastAsia="宋体" w:hAnsi="Times New Roman" w:cs="Times New Roman"/>
          <w:color w:val="000000"/>
          <w:kern w:val="2"/>
          <w:sz w:val="21"/>
        </w:rPr>
        <w:t>2</w:t>
      </w:r>
      <w:r>
        <w:rPr>
          <w:rFonts w:ascii="Times New Roman" w:eastAsia="宋体" w:hAnsi="Times New Roman" w:cs="宋体" w:hint="eastAsia"/>
          <w:color w:val="000000"/>
          <w:kern w:val="2"/>
          <w:sz w:val="21"/>
        </w:rPr>
        <w:t>小时，复杂故障的修复时限为</w:t>
      </w:r>
      <w:r>
        <w:rPr>
          <w:rFonts w:ascii="Times New Roman" w:eastAsia="宋体" w:hAnsi="Times New Roman" w:cs="Times New Roman"/>
          <w:color w:val="000000"/>
          <w:kern w:val="2"/>
          <w:sz w:val="21"/>
        </w:rPr>
        <w:t>8</w:t>
      </w:r>
      <w:r>
        <w:rPr>
          <w:rFonts w:ascii="Times New Roman" w:eastAsia="宋体" w:hAnsi="Times New Roman" w:cs="宋体" w:hint="eastAsia"/>
          <w:color w:val="000000"/>
          <w:kern w:val="2"/>
          <w:sz w:val="21"/>
        </w:rPr>
        <w:t>小时，重大故障的修复时限为</w:t>
      </w:r>
      <w:r>
        <w:rPr>
          <w:rFonts w:ascii="Times New Roman" w:eastAsia="宋体" w:hAnsi="Times New Roman" w:cs="Times New Roman"/>
          <w:color w:val="000000"/>
          <w:kern w:val="2"/>
          <w:sz w:val="21"/>
        </w:rPr>
        <w:t>72</w:t>
      </w:r>
      <w:r>
        <w:rPr>
          <w:rFonts w:ascii="Times New Roman" w:eastAsia="宋体" w:hAnsi="Times New Roman" w:cs="宋体" w:hint="eastAsia"/>
          <w:color w:val="000000"/>
          <w:kern w:val="2"/>
          <w:sz w:val="21"/>
        </w:rPr>
        <w:t>小时（新疆、西藏、内蒙古</w:t>
      </w:r>
      <w:r>
        <w:rPr>
          <w:rFonts w:ascii="Times New Roman" w:eastAsia="宋体" w:hAnsi="Times New Roman" w:cs="Times New Roman" w:hint="eastAsia"/>
          <w:kern w:val="2"/>
          <w:sz w:val="21"/>
        </w:rPr>
        <w:t>、黑龙江、云南</w:t>
      </w:r>
      <w:r>
        <w:rPr>
          <w:rFonts w:ascii="Times New Roman" w:eastAsia="宋体" w:hAnsi="Times New Roman" w:cs="宋体" w:hint="eastAsia"/>
          <w:color w:val="000000"/>
          <w:kern w:val="2"/>
          <w:sz w:val="21"/>
        </w:rPr>
        <w:t>地区重大故障的修复时限为</w:t>
      </w:r>
      <w:r>
        <w:rPr>
          <w:rFonts w:ascii="Times New Roman" w:eastAsia="宋体" w:hAnsi="Times New Roman" w:cs="Times New Roman"/>
          <w:color w:val="000000"/>
          <w:kern w:val="2"/>
          <w:sz w:val="21"/>
        </w:rPr>
        <w:t>120</w:t>
      </w:r>
      <w:r>
        <w:rPr>
          <w:rFonts w:ascii="Times New Roman" w:eastAsia="宋体" w:hAnsi="Times New Roman" w:cs="宋体" w:hint="eastAsia"/>
          <w:color w:val="000000"/>
          <w:kern w:val="2"/>
          <w:sz w:val="21"/>
        </w:rPr>
        <w:t>小时）。修复时限是指故障开始时间到故障结束时间。常见故障举例如下（包括但不限于）：</w:t>
      </w:r>
    </w:p>
    <w:tbl>
      <w:tblPr>
        <w:tblW w:w="8484" w:type="dxa"/>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2767"/>
        <w:gridCol w:w="4157"/>
        <w:gridCol w:w="1560"/>
      </w:tblGrid>
      <w:tr>
        <w:tblPrEx>
          <w:tblW w:w="8484" w:type="dxa"/>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71"/>
          <w:jc w:val="center"/>
        </w:trPr>
        <w:tc>
          <w:tcPr>
            <w:tcW w:w="2767" w:type="dxa"/>
            <w:tcBorders>
              <w:top w:val="single" w:sz="4" w:space="0" w:color="auto"/>
              <w:left w:val="single" w:sz="4" w:space="0" w:color="auto"/>
              <w:bottom w:val="single" w:sz="4" w:space="0" w:color="auto"/>
              <w:right w:val="single" w:sz="4" w:space="0" w:color="auto"/>
            </w:tcBorders>
            <w:shd w:val="clear" w:color="auto" w:fill="D9D9D9"/>
            <w:noWrap/>
            <w:vAlign w:val="center"/>
          </w:tcPr>
          <w:p>
            <w:pPr>
              <w:widowControl/>
              <w:autoSpaceDN w:val="0"/>
              <w:spacing w:line="240" w:lineRule="auto"/>
              <w:ind w:firstLine="0"/>
              <w:jc w:val="center"/>
              <w:rPr>
                <w:rFonts w:ascii="宋体" w:eastAsia="宋体" w:cs="Times New Roman"/>
                <w:b/>
                <w:bCs/>
                <w:kern w:val="2"/>
                <w:sz w:val="18"/>
                <w:szCs w:val="18"/>
              </w:rPr>
            </w:pPr>
            <w:r>
              <w:rPr>
                <w:rFonts w:ascii="宋体" w:eastAsia="宋体" w:cs="宋体" w:hint="eastAsia"/>
                <w:b/>
                <w:bCs/>
                <w:kern w:val="2"/>
                <w:sz w:val="18"/>
                <w:szCs w:val="18"/>
              </w:rPr>
              <w:t>分系统</w:t>
            </w:r>
          </w:p>
        </w:tc>
        <w:tc>
          <w:tcPr>
            <w:tcW w:w="4157" w:type="dxa"/>
            <w:tcBorders>
              <w:top w:val="single" w:sz="4" w:space="0" w:color="auto"/>
              <w:left w:val="nil"/>
              <w:bottom w:val="single" w:sz="4" w:space="0" w:color="auto"/>
              <w:right w:val="single" w:sz="4" w:space="0" w:color="auto"/>
            </w:tcBorders>
            <w:shd w:val="clear" w:color="auto" w:fill="D9D9D9"/>
            <w:noWrap/>
            <w:vAlign w:val="center"/>
          </w:tcPr>
          <w:p>
            <w:pPr>
              <w:widowControl/>
              <w:autoSpaceDN w:val="0"/>
              <w:spacing w:line="240" w:lineRule="auto"/>
              <w:ind w:firstLine="0"/>
              <w:jc w:val="center"/>
              <w:rPr>
                <w:rFonts w:ascii="宋体" w:eastAsia="宋体" w:cs="Times New Roman"/>
                <w:b/>
                <w:bCs/>
                <w:kern w:val="2"/>
                <w:sz w:val="18"/>
                <w:szCs w:val="18"/>
              </w:rPr>
            </w:pPr>
            <w:r>
              <w:rPr>
                <w:rFonts w:ascii="宋体" w:eastAsia="宋体" w:cs="宋体" w:hint="eastAsia"/>
                <w:b/>
                <w:bCs/>
                <w:kern w:val="2"/>
                <w:sz w:val="18"/>
                <w:szCs w:val="18"/>
              </w:rPr>
              <w:t>故障描述</w:t>
            </w:r>
          </w:p>
        </w:tc>
        <w:tc>
          <w:tcPr>
            <w:tcW w:w="1560" w:type="dxa"/>
            <w:tcBorders>
              <w:top w:val="single" w:sz="4" w:space="0" w:color="auto"/>
              <w:left w:val="nil"/>
              <w:bottom w:val="single" w:sz="4" w:space="0" w:color="auto"/>
              <w:right w:val="single" w:sz="4" w:space="0" w:color="auto"/>
            </w:tcBorders>
            <w:shd w:val="clear" w:color="auto" w:fill="D9D9D9"/>
            <w:noWrap/>
            <w:vAlign w:val="center"/>
          </w:tcPr>
          <w:p>
            <w:pPr>
              <w:widowControl/>
              <w:autoSpaceDN w:val="0"/>
              <w:spacing w:line="240" w:lineRule="auto"/>
              <w:ind w:firstLine="0"/>
              <w:jc w:val="center"/>
              <w:rPr>
                <w:rFonts w:ascii="宋体" w:eastAsia="宋体" w:cs="Times New Roman"/>
                <w:b/>
                <w:bCs/>
                <w:kern w:val="2"/>
                <w:sz w:val="18"/>
                <w:szCs w:val="18"/>
              </w:rPr>
            </w:pPr>
            <w:r>
              <w:rPr>
                <w:rFonts w:ascii="宋体" w:eastAsia="宋体" w:cs="宋体" w:hint="eastAsia"/>
                <w:b/>
                <w:bCs/>
                <w:kern w:val="2"/>
                <w:sz w:val="18"/>
                <w:szCs w:val="18"/>
              </w:rPr>
              <w:t>故障分类</w:t>
            </w:r>
          </w:p>
        </w:tc>
      </w:tr>
      <w:tr>
        <w:tblPrEx>
          <w:tblW w:w="8484" w:type="dxa"/>
          <w:jc w:val="center"/>
          <w:tblCellMar>
            <w:top w:w="0" w:type="dxa"/>
            <w:left w:w="108" w:type="dxa"/>
            <w:bottom w:w="0" w:type="dxa"/>
            <w:right w:w="108" w:type="dxa"/>
          </w:tblCellMar>
        </w:tblPrEx>
        <w:trPr>
          <w:trHeight w:val="371"/>
          <w:jc w:val="center"/>
        </w:trPr>
        <w:tc>
          <w:tcPr>
            <w:tcW w:w="2767" w:type="dxa"/>
            <w:vMerge w:val="restart"/>
            <w:tcBorders>
              <w:top w:val="nil"/>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射线源分系统</w:t>
            </w:r>
          </w:p>
        </w:tc>
        <w:tc>
          <w:tcPr>
            <w:tcW w:w="4157" w:type="dxa"/>
            <w:tcBorders>
              <w:top w:val="nil"/>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气压故障</w:t>
            </w:r>
          </w:p>
        </w:tc>
        <w:tc>
          <w:tcPr>
            <w:tcW w:w="1560" w:type="dxa"/>
            <w:tcBorders>
              <w:top w:val="nil"/>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一般故障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nil"/>
              <w:left w:val="single" w:sz="4" w:space="0" w:color="auto"/>
              <w:bottom w:val="single" w:sz="4" w:space="0" w:color="auto"/>
              <w:right w:val="single" w:sz="4" w:space="0" w:color="auto"/>
            </w:tcBorders>
            <w:noWrap/>
            <w:vAlign w:val="center"/>
          </w:tcPr>
          <w:p/>
        </w:tc>
        <w:tc>
          <w:tcPr>
            <w:tcW w:w="4157" w:type="dxa"/>
            <w:tcBorders>
              <w:top w:val="nil"/>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复位故障</w:t>
            </w:r>
          </w:p>
        </w:tc>
        <w:tc>
          <w:tcPr>
            <w:tcW w:w="1560" w:type="dxa"/>
            <w:tcBorders>
              <w:top w:val="nil"/>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一般故障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nil"/>
              <w:left w:val="single" w:sz="4" w:space="0" w:color="auto"/>
              <w:bottom w:val="single" w:sz="4" w:space="0" w:color="auto"/>
              <w:right w:val="single" w:sz="4" w:space="0" w:color="auto"/>
            </w:tcBorders>
            <w:noWrap/>
            <w:vAlign w:val="center"/>
          </w:tcPr>
          <w:p/>
        </w:tc>
        <w:tc>
          <w:tcPr>
            <w:tcW w:w="4157" w:type="dxa"/>
            <w:tcBorders>
              <w:top w:val="nil"/>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电磁阀故障</w:t>
            </w:r>
          </w:p>
        </w:tc>
        <w:tc>
          <w:tcPr>
            <w:tcW w:w="1560" w:type="dxa"/>
            <w:tcBorders>
              <w:top w:val="nil"/>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一般故障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nil"/>
              <w:left w:val="single" w:sz="4" w:space="0" w:color="auto"/>
              <w:bottom w:val="single" w:sz="4" w:space="0" w:color="auto"/>
              <w:right w:val="single" w:sz="4" w:space="0" w:color="auto"/>
            </w:tcBorders>
            <w:noWrap/>
            <w:vAlign w:val="center"/>
          </w:tcPr>
          <w:p/>
        </w:tc>
        <w:tc>
          <w:tcPr>
            <w:tcW w:w="4157" w:type="dxa"/>
            <w:tcBorders>
              <w:top w:val="nil"/>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脉冲发生器故障</w:t>
            </w:r>
          </w:p>
        </w:tc>
        <w:tc>
          <w:tcPr>
            <w:tcW w:w="1560" w:type="dxa"/>
            <w:tcBorders>
              <w:top w:val="nil"/>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复杂故障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nil"/>
              <w:left w:val="single" w:sz="4" w:space="0" w:color="auto"/>
              <w:bottom w:val="single" w:sz="4" w:space="0" w:color="auto"/>
              <w:right w:val="single" w:sz="4" w:space="0" w:color="auto"/>
            </w:tcBorders>
            <w:noWrap/>
            <w:vAlign w:val="center"/>
          </w:tcPr>
          <w:p/>
        </w:tc>
        <w:tc>
          <w:tcPr>
            <w:tcW w:w="4157" w:type="dxa"/>
            <w:tcBorders>
              <w:top w:val="nil"/>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加速器电源箱故障</w:t>
            </w:r>
          </w:p>
        </w:tc>
        <w:tc>
          <w:tcPr>
            <w:tcW w:w="1560" w:type="dxa"/>
            <w:tcBorders>
              <w:top w:val="nil"/>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复杂故障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nil"/>
              <w:left w:val="single" w:sz="4" w:space="0" w:color="auto"/>
              <w:bottom w:val="single" w:sz="4" w:space="0" w:color="auto"/>
              <w:right w:val="single" w:sz="4" w:space="0" w:color="auto"/>
            </w:tcBorders>
            <w:noWrap/>
            <w:vAlign w:val="center"/>
          </w:tcPr>
          <w:p/>
        </w:tc>
        <w:tc>
          <w:tcPr>
            <w:tcW w:w="4157" w:type="dxa"/>
            <w:tcBorders>
              <w:top w:val="nil"/>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加速管故障</w:t>
            </w:r>
          </w:p>
        </w:tc>
        <w:tc>
          <w:tcPr>
            <w:tcW w:w="1560" w:type="dxa"/>
            <w:tcBorders>
              <w:top w:val="nil"/>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重大故障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nil"/>
              <w:left w:val="single" w:sz="4" w:space="0" w:color="auto"/>
              <w:bottom w:val="single" w:sz="4" w:space="0" w:color="auto"/>
              <w:right w:val="single" w:sz="4" w:space="0" w:color="auto"/>
            </w:tcBorders>
            <w:noWrap/>
            <w:vAlign w:val="center"/>
          </w:tcPr>
          <w:p/>
        </w:tc>
        <w:tc>
          <w:tcPr>
            <w:tcW w:w="4157" w:type="dxa"/>
            <w:tcBorders>
              <w:top w:val="nil"/>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卡源故障</w:t>
            </w:r>
          </w:p>
        </w:tc>
        <w:tc>
          <w:tcPr>
            <w:tcW w:w="1560" w:type="dxa"/>
            <w:tcBorders>
              <w:top w:val="nil"/>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重大故障</w:t>
            </w:r>
          </w:p>
        </w:tc>
      </w:tr>
      <w:tr>
        <w:tblPrEx>
          <w:tblW w:w="8484" w:type="dxa"/>
          <w:jc w:val="center"/>
          <w:tblCellMar>
            <w:top w:w="0" w:type="dxa"/>
            <w:left w:w="108" w:type="dxa"/>
            <w:bottom w:w="0" w:type="dxa"/>
            <w:right w:w="108" w:type="dxa"/>
          </w:tblCellMar>
        </w:tblPrEx>
        <w:trPr>
          <w:trHeight w:val="371"/>
          <w:jc w:val="center"/>
        </w:trPr>
        <w:tc>
          <w:tcPr>
            <w:tcW w:w="2767" w:type="dxa"/>
            <w:vMerge w:val="restart"/>
            <w:tcBorders>
              <w:top w:val="nil"/>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探测器分系统</w:t>
            </w:r>
          </w:p>
        </w:tc>
        <w:tc>
          <w:tcPr>
            <w:tcW w:w="4157" w:type="dxa"/>
            <w:tcBorders>
              <w:top w:val="nil"/>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单个探测器模块故障</w:t>
            </w:r>
          </w:p>
        </w:tc>
        <w:tc>
          <w:tcPr>
            <w:tcW w:w="1560" w:type="dxa"/>
            <w:tcBorders>
              <w:top w:val="nil"/>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一般故障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nil"/>
              <w:left w:val="single" w:sz="4" w:space="0" w:color="auto"/>
              <w:bottom w:val="single" w:sz="4" w:space="0" w:color="auto"/>
              <w:right w:val="single" w:sz="4" w:space="0" w:color="auto"/>
            </w:tcBorders>
            <w:noWrap/>
            <w:vAlign w:val="center"/>
          </w:tcPr>
          <w:p/>
        </w:tc>
        <w:tc>
          <w:tcPr>
            <w:tcW w:w="4157" w:type="dxa"/>
            <w:tcBorders>
              <w:top w:val="nil"/>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图像异常故障</w:t>
            </w:r>
          </w:p>
        </w:tc>
        <w:tc>
          <w:tcPr>
            <w:tcW w:w="1560" w:type="dxa"/>
            <w:tcBorders>
              <w:top w:val="nil"/>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复杂故障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nil"/>
              <w:left w:val="single" w:sz="4" w:space="0" w:color="auto"/>
              <w:bottom w:val="single" w:sz="4" w:space="0" w:color="auto"/>
              <w:right w:val="single" w:sz="4" w:space="0" w:color="auto"/>
            </w:tcBorders>
            <w:noWrap/>
            <w:vAlign w:val="center"/>
          </w:tcPr>
          <w:p/>
        </w:tc>
        <w:tc>
          <w:tcPr>
            <w:tcW w:w="4157" w:type="dxa"/>
            <w:tcBorders>
              <w:top w:val="nil"/>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采集信号异常故障</w:t>
            </w:r>
          </w:p>
        </w:tc>
        <w:tc>
          <w:tcPr>
            <w:tcW w:w="1560" w:type="dxa"/>
            <w:tcBorders>
              <w:top w:val="nil"/>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复杂故障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nil"/>
              <w:left w:val="single" w:sz="4" w:space="0" w:color="auto"/>
              <w:bottom w:val="single" w:sz="4" w:space="0" w:color="auto"/>
              <w:right w:val="single" w:sz="4" w:space="0" w:color="auto"/>
            </w:tcBorders>
            <w:noWrap/>
            <w:vAlign w:val="center"/>
          </w:tcPr>
          <w:p/>
        </w:tc>
        <w:tc>
          <w:tcPr>
            <w:tcW w:w="4157" w:type="dxa"/>
            <w:tcBorders>
              <w:top w:val="nil"/>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控制模块故障</w:t>
            </w:r>
          </w:p>
        </w:tc>
        <w:tc>
          <w:tcPr>
            <w:tcW w:w="1560" w:type="dxa"/>
            <w:tcBorders>
              <w:top w:val="nil"/>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复杂故障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nil"/>
              <w:left w:val="single" w:sz="4" w:space="0" w:color="auto"/>
              <w:bottom w:val="single" w:sz="4" w:space="0" w:color="auto"/>
              <w:right w:val="single" w:sz="4" w:space="0" w:color="auto"/>
            </w:tcBorders>
            <w:noWrap/>
            <w:vAlign w:val="center"/>
          </w:tcPr>
          <w:p/>
        </w:tc>
        <w:tc>
          <w:tcPr>
            <w:tcW w:w="415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探测器模块故障</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复杂故障</w:t>
            </w:r>
          </w:p>
        </w:tc>
      </w:tr>
      <w:tr>
        <w:tblPrEx>
          <w:tblW w:w="8484" w:type="dxa"/>
          <w:jc w:val="center"/>
          <w:tblCellMar>
            <w:top w:w="0" w:type="dxa"/>
            <w:left w:w="108" w:type="dxa"/>
            <w:bottom w:w="0" w:type="dxa"/>
            <w:right w:w="108" w:type="dxa"/>
          </w:tblCellMar>
        </w:tblPrEx>
        <w:trPr>
          <w:trHeight w:val="371"/>
          <w:jc w:val="center"/>
        </w:trPr>
        <w:tc>
          <w:tcPr>
            <w:tcW w:w="2767" w:type="dxa"/>
            <w:vMerge w:val="restart"/>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扫描控制分系统</w:t>
            </w:r>
          </w:p>
        </w:tc>
        <w:tc>
          <w:tcPr>
            <w:tcW w:w="415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系统电源故障</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一般故障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single" w:sz="4" w:space="0" w:color="auto"/>
              <w:left w:val="single" w:sz="4" w:space="0" w:color="auto"/>
              <w:bottom w:val="single" w:sz="4" w:space="0" w:color="auto"/>
              <w:right w:val="single" w:sz="4" w:space="0" w:color="auto"/>
            </w:tcBorders>
            <w:noWrap/>
            <w:vAlign w:val="center"/>
          </w:tcPr>
          <w:p/>
        </w:tc>
        <w:tc>
          <w:tcPr>
            <w:tcW w:w="415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安全联锁不就绪故障</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一般故障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single" w:sz="4" w:space="0" w:color="auto"/>
              <w:left w:val="single" w:sz="4" w:space="0" w:color="auto"/>
              <w:bottom w:val="single" w:sz="4" w:space="0" w:color="auto"/>
              <w:right w:val="single" w:sz="4" w:space="0" w:color="auto"/>
            </w:tcBorders>
            <w:noWrap/>
            <w:vAlign w:val="center"/>
          </w:tcPr>
          <w:p/>
        </w:tc>
        <w:tc>
          <w:tcPr>
            <w:tcW w:w="415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通讯故障</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一般故障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single" w:sz="4" w:space="0" w:color="auto"/>
              <w:left w:val="single" w:sz="4" w:space="0" w:color="auto"/>
              <w:bottom w:val="single" w:sz="4" w:space="0" w:color="auto"/>
              <w:right w:val="single" w:sz="4" w:space="0" w:color="auto"/>
            </w:tcBorders>
            <w:noWrap/>
            <w:vAlign w:val="center"/>
          </w:tcPr>
          <w:p/>
        </w:tc>
        <w:tc>
          <w:tcPr>
            <w:tcW w:w="415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扫描车行走故障</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复杂故障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single" w:sz="4" w:space="0" w:color="auto"/>
              <w:left w:val="single" w:sz="4" w:space="0" w:color="auto"/>
              <w:bottom w:val="single" w:sz="4" w:space="0" w:color="auto"/>
              <w:right w:val="single" w:sz="4" w:space="0" w:color="auto"/>
            </w:tcBorders>
            <w:noWrap/>
            <w:vAlign w:val="center"/>
          </w:tcPr>
          <w:p/>
        </w:tc>
        <w:tc>
          <w:tcPr>
            <w:tcW w:w="415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变频器故障</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复杂故障</w:t>
            </w:r>
          </w:p>
        </w:tc>
      </w:tr>
      <w:tr>
        <w:tblPrEx>
          <w:tblW w:w="8484" w:type="dxa"/>
          <w:jc w:val="center"/>
          <w:tblCellMar>
            <w:top w:w="0" w:type="dxa"/>
            <w:left w:w="108" w:type="dxa"/>
            <w:bottom w:w="0" w:type="dxa"/>
            <w:right w:w="108" w:type="dxa"/>
          </w:tblCellMar>
        </w:tblPrEx>
        <w:trPr>
          <w:trHeight w:val="371"/>
          <w:jc w:val="center"/>
        </w:trPr>
        <w:tc>
          <w:tcPr>
            <w:tcW w:w="2767" w:type="dxa"/>
            <w:vMerge w:val="restart"/>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运行检查分系统</w:t>
            </w:r>
          </w:p>
        </w:tc>
        <w:tc>
          <w:tcPr>
            <w:tcW w:w="4157" w:type="dxa"/>
            <w:tcBorders>
              <w:top w:val="single" w:sz="4" w:space="0" w:color="auto"/>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UPS故障</w:t>
            </w:r>
          </w:p>
        </w:tc>
        <w:tc>
          <w:tcPr>
            <w:tcW w:w="1560" w:type="dxa"/>
            <w:tcBorders>
              <w:top w:val="single" w:sz="4" w:space="0" w:color="auto"/>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一般故障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single" w:sz="4" w:space="0" w:color="auto"/>
              <w:left w:val="single" w:sz="4" w:space="0" w:color="auto"/>
              <w:bottom w:val="single" w:sz="4" w:space="0" w:color="auto"/>
              <w:right w:val="single" w:sz="4" w:space="0" w:color="auto"/>
            </w:tcBorders>
            <w:noWrap/>
            <w:vAlign w:val="center"/>
          </w:tcPr>
          <w:p/>
        </w:tc>
        <w:tc>
          <w:tcPr>
            <w:tcW w:w="4157" w:type="dxa"/>
            <w:tcBorders>
              <w:top w:val="nil"/>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通讯故障</w:t>
            </w:r>
          </w:p>
        </w:tc>
        <w:tc>
          <w:tcPr>
            <w:tcW w:w="1560" w:type="dxa"/>
            <w:tcBorders>
              <w:top w:val="nil"/>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一般故障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single" w:sz="4" w:space="0" w:color="auto"/>
              <w:left w:val="single" w:sz="4" w:space="0" w:color="auto"/>
              <w:bottom w:val="single" w:sz="4" w:space="0" w:color="auto"/>
              <w:right w:val="single" w:sz="4" w:space="0" w:color="auto"/>
            </w:tcBorders>
            <w:noWrap/>
            <w:vAlign w:val="center"/>
          </w:tcPr>
          <w:p/>
        </w:tc>
        <w:tc>
          <w:tcPr>
            <w:tcW w:w="4157" w:type="dxa"/>
            <w:tcBorders>
              <w:top w:val="single" w:sz="4" w:space="0" w:color="auto"/>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服务器故障更换</w:t>
            </w:r>
          </w:p>
        </w:tc>
        <w:tc>
          <w:tcPr>
            <w:tcW w:w="1560" w:type="dxa"/>
            <w:tcBorders>
              <w:top w:val="single" w:sz="4" w:space="0" w:color="auto"/>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复杂故障</w:t>
            </w:r>
          </w:p>
        </w:tc>
      </w:tr>
      <w:tr>
        <w:tblPrEx>
          <w:tblW w:w="8484" w:type="dxa"/>
          <w:jc w:val="center"/>
          <w:tblCellMar>
            <w:top w:w="0" w:type="dxa"/>
            <w:left w:w="108" w:type="dxa"/>
            <w:bottom w:w="0" w:type="dxa"/>
            <w:right w:w="108" w:type="dxa"/>
          </w:tblCellMar>
        </w:tblPrEx>
        <w:trPr>
          <w:trHeight w:val="371"/>
          <w:jc w:val="center"/>
        </w:trPr>
        <w:tc>
          <w:tcPr>
            <w:tcW w:w="2767" w:type="dxa"/>
            <w:vMerge w:val="restart"/>
            <w:tcBorders>
              <w:top w:val="nil"/>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扫描装置分系统</w:t>
            </w:r>
          </w:p>
        </w:tc>
        <w:tc>
          <w:tcPr>
            <w:tcW w:w="415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车体三点一线故障</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复杂故障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nil"/>
              <w:left w:val="single" w:sz="4" w:space="0" w:color="auto"/>
              <w:bottom w:val="single" w:sz="4" w:space="0" w:color="auto"/>
              <w:right w:val="single" w:sz="4" w:space="0" w:color="auto"/>
            </w:tcBorders>
            <w:noWrap/>
            <w:vAlign w:val="center"/>
          </w:tcPr>
          <w:p/>
        </w:tc>
        <w:tc>
          <w:tcPr>
            <w:tcW w:w="4157" w:type="dxa"/>
            <w:tcBorders>
              <w:top w:val="single" w:sz="4" w:space="0" w:color="auto"/>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扫描车行走啃轨</w:t>
            </w:r>
          </w:p>
        </w:tc>
        <w:tc>
          <w:tcPr>
            <w:tcW w:w="1560" w:type="dxa"/>
            <w:tcBorders>
              <w:top w:val="single" w:sz="4" w:space="0" w:color="auto"/>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复杂故障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nil"/>
              <w:left w:val="single" w:sz="4" w:space="0" w:color="auto"/>
              <w:bottom w:val="single" w:sz="4" w:space="0" w:color="auto"/>
              <w:right w:val="single" w:sz="4" w:space="0" w:color="auto"/>
            </w:tcBorders>
            <w:noWrap/>
            <w:vAlign w:val="center"/>
          </w:tcPr>
          <w:p/>
        </w:tc>
        <w:tc>
          <w:tcPr>
            <w:tcW w:w="4157" w:type="dxa"/>
            <w:tcBorders>
              <w:top w:val="single" w:sz="4" w:space="0" w:color="auto"/>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行走电机故障更换</w:t>
            </w:r>
          </w:p>
        </w:tc>
        <w:tc>
          <w:tcPr>
            <w:tcW w:w="1560" w:type="dxa"/>
            <w:tcBorders>
              <w:top w:val="single" w:sz="4" w:space="0" w:color="auto"/>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重大故障</w:t>
            </w:r>
          </w:p>
        </w:tc>
      </w:tr>
      <w:tr>
        <w:tblPrEx>
          <w:tblW w:w="8484" w:type="dxa"/>
          <w:jc w:val="center"/>
          <w:tblCellMar>
            <w:top w:w="0" w:type="dxa"/>
            <w:left w:w="108" w:type="dxa"/>
            <w:bottom w:w="0" w:type="dxa"/>
            <w:right w:w="108" w:type="dxa"/>
          </w:tblCellMar>
        </w:tblPrEx>
        <w:trPr>
          <w:trHeight w:val="371"/>
          <w:jc w:val="center"/>
        </w:trPr>
        <w:tc>
          <w:tcPr>
            <w:tcW w:w="2767" w:type="dxa"/>
            <w:vMerge/>
            <w:tcBorders>
              <w:top w:val="nil"/>
              <w:left w:val="single" w:sz="4" w:space="0" w:color="auto"/>
              <w:bottom w:val="single" w:sz="4" w:space="0" w:color="auto"/>
              <w:right w:val="single" w:sz="4" w:space="0" w:color="auto"/>
            </w:tcBorders>
            <w:noWrap/>
            <w:vAlign w:val="center"/>
          </w:tcPr>
          <w:p/>
        </w:tc>
        <w:tc>
          <w:tcPr>
            <w:tcW w:w="4157" w:type="dxa"/>
            <w:tcBorders>
              <w:top w:val="single" w:sz="4" w:space="0" w:color="auto"/>
              <w:left w:val="nil"/>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扫描车体被集装箱车辆误撞故障</w:t>
            </w:r>
          </w:p>
        </w:tc>
        <w:tc>
          <w:tcPr>
            <w:tcW w:w="1560" w:type="dxa"/>
            <w:tcBorders>
              <w:top w:val="single" w:sz="4" w:space="0" w:color="auto"/>
              <w:left w:val="nil"/>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重大故障</w:t>
            </w:r>
          </w:p>
        </w:tc>
      </w:tr>
    </w:tbl>
    <w:p>
      <w:pPr>
        <w:autoSpaceDN w:val="0"/>
        <w:adjustRightInd w:val="0"/>
        <w:snapToGrid w:val="0"/>
        <w:spacing w:line="240" w:lineRule="auto"/>
        <w:ind w:firstLine="0"/>
        <w:rPr>
          <w:rFonts w:ascii="Times New Roman" w:eastAsia="宋体" w:hAnsi="Times New Roman" w:cs="宋体"/>
          <w:b/>
          <w:bCs/>
          <w:kern w:val="2"/>
          <w:sz w:val="21"/>
        </w:rPr>
      </w:pPr>
    </w:p>
    <w:p>
      <w:pPr>
        <w:autoSpaceDN w:val="0"/>
        <w:spacing w:line="240" w:lineRule="auto"/>
        <w:ind w:firstLine="0"/>
        <w:rPr>
          <w:rFonts w:ascii="宋体" w:eastAsia="宋体" w:cs="Times New Roman"/>
          <w:kern w:val="2"/>
          <w:sz w:val="28"/>
          <w:szCs w:val="28"/>
        </w:rPr>
      </w:pPr>
      <w:r>
        <w:rPr>
          <w:rFonts w:ascii="Times New Roman" w:eastAsia="宋体" w:hAnsi="Times New Roman" w:cs="宋体"/>
          <w:b/>
          <w:bCs/>
          <w:kern w:val="2"/>
          <w:sz w:val="21"/>
        </w:rPr>
        <w:br w:type="page"/>
      </w:r>
      <w:r>
        <w:rPr>
          <w:rFonts w:ascii="Times New Roman" w:eastAsia="宋体" w:hAnsi="Times New Roman" w:cs="宋体" w:hint="eastAsia"/>
          <w:b/>
          <w:bCs/>
          <w:kern w:val="2"/>
          <w:sz w:val="28"/>
          <w:szCs w:val="28"/>
        </w:rPr>
        <w:t>附件</w:t>
      </w:r>
      <w:r>
        <w:rPr>
          <w:rFonts w:ascii="Times New Roman" w:eastAsia="宋体" w:hAnsi="Times New Roman" w:cs="Times New Roman"/>
          <w:b/>
          <w:bCs/>
          <w:kern w:val="2"/>
          <w:sz w:val="28"/>
          <w:szCs w:val="28"/>
        </w:rPr>
        <w:t>3</w:t>
      </w:r>
      <w:r>
        <w:rPr>
          <w:rFonts w:ascii="Times New Roman" w:eastAsia="宋体" w:hAnsi="Times New Roman" w:cs="宋体" w:hint="eastAsia"/>
          <w:b/>
          <w:bCs/>
          <w:kern w:val="2"/>
          <w:sz w:val="28"/>
          <w:szCs w:val="28"/>
        </w:rPr>
        <w:t>《日常巡检项目》</w:t>
      </w:r>
    </w:p>
    <w:tbl>
      <w:tblPr>
        <w:tblW w:w="9357" w:type="dxa"/>
        <w:jc w:val="left"/>
        <w:tblInd w:w="-106"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710"/>
        <w:gridCol w:w="5386"/>
        <w:gridCol w:w="2552"/>
        <w:gridCol w:w="709"/>
      </w:tblGrid>
      <w:tr>
        <w:tblPrEx>
          <w:tblW w:w="9357" w:type="dxa"/>
          <w:jc w:val="left"/>
          <w:tblInd w:w="-106"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trHeight w:val="270"/>
          <w:jc w:val="left"/>
        </w:trPr>
        <w:tc>
          <w:tcPr>
            <w:tcW w:w="710" w:type="dxa"/>
            <w:tcBorders>
              <w:top w:val="single" w:sz="4" w:space="0" w:color="auto"/>
              <w:left w:val="single" w:sz="4" w:space="0" w:color="auto"/>
              <w:bottom w:val="single" w:sz="4" w:space="0" w:color="auto"/>
              <w:right w:val="single" w:sz="4" w:space="0" w:color="auto"/>
            </w:tcBorders>
            <w:shd w:val="clear" w:color="auto" w:fill="D9D9D9"/>
            <w:noWrap/>
            <w:vAlign w:val="center"/>
          </w:tcPr>
          <w:p>
            <w:pPr>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序号</w:t>
            </w:r>
          </w:p>
        </w:tc>
        <w:tc>
          <w:tcPr>
            <w:tcW w:w="5386" w:type="dxa"/>
            <w:tcBorders>
              <w:top w:val="single" w:sz="4" w:space="0" w:color="auto"/>
              <w:left w:val="single" w:sz="4" w:space="0" w:color="auto"/>
              <w:bottom w:val="single" w:sz="4" w:space="0" w:color="auto"/>
              <w:right w:val="single" w:sz="4" w:space="0" w:color="auto"/>
            </w:tcBorders>
            <w:shd w:val="clear" w:color="auto" w:fill="D9D9D9"/>
            <w:noWrap/>
            <w:vAlign w:val="center"/>
          </w:tcPr>
          <w:p>
            <w:pPr>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巡检项目</w:t>
            </w:r>
          </w:p>
        </w:tc>
        <w:tc>
          <w:tcPr>
            <w:tcW w:w="2552" w:type="dxa"/>
            <w:tcBorders>
              <w:top w:val="single" w:sz="4" w:space="0" w:color="auto"/>
              <w:left w:val="single" w:sz="4" w:space="0" w:color="auto"/>
              <w:bottom w:val="single" w:sz="4" w:space="0" w:color="auto"/>
              <w:right w:val="single" w:sz="4" w:space="0" w:color="auto"/>
            </w:tcBorders>
            <w:shd w:val="clear" w:color="auto" w:fill="D9D9D9"/>
            <w:noWrap/>
            <w:vAlign w:val="center"/>
          </w:tcPr>
          <w:p>
            <w:pPr>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项目分类</w:t>
            </w:r>
          </w:p>
        </w:tc>
        <w:tc>
          <w:tcPr>
            <w:tcW w:w="709" w:type="dxa"/>
            <w:tcBorders>
              <w:top w:val="single" w:sz="4" w:space="0" w:color="auto"/>
              <w:left w:val="single" w:sz="4" w:space="0" w:color="auto"/>
              <w:bottom w:val="single" w:sz="4" w:space="0" w:color="auto"/>
              <w:right w:val="single" w:sz="4" w:space="0" w:color="auto"/>
            </w:tcBorders>
            <w:shd w:val="clear" w:color="auto" w:fill="D9D9D9"/>
            <w:noWrap/>
            <w:vAlign w:val="center"/>
          </w:tcPr>
          <w:p>
            <w:pPr>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周期</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检查或清理图像检查站的各文件系统状态</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运行检查-硬件</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服务器的服务是否正常启动及相关功能，抽查扫描原始图像效果</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运行检查-软件</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记录前一天的扫描图像数量，检查图像上传集中审像系统情况，每天跟踪查看第一幅图像的全流程（包括检入信息、扫描图像质量等）</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运行检查-软件</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查看射线源连接状态是否正常，出束剂量率对比</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运行检查-软件</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6</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检查数据自动备份系统工作是否正常</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运行检查-软件</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7</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每周检查扫描（原始）图像质量，通过综合分析后认为需要调整时，可根据相应方法重新调整。</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运行检查-软件</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8</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电网电压U相、V相、W相，稳压电源输出电压U相、V相、W相</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运行环境</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9</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扫描区域、设备周边安全；检查扫描大厅大门工作状态</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运行环境</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10</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检查并记录探测器舱室温度、湿度，检查并记录射线源舱温度、湿度</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运行环境</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11</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检查光电对射情况，确保良好工作状态</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箱号识别</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12</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检查箱号识别系统抓拍效果，观察补光灯运行状况，检查箱号识别工控机指示灯状态</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箱号识别</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13</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检查是否有探测器单元损坏，如有应立即屏蔽或更换模块。</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探测器</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14</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检查冷凝水排放是否通畅、有无锈蚀设备的情况</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15</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运行时观察电机应无异响，减速箱应无异响、不漏油</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16</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检查车体环境情况</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17</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检查射线源舱体防护门是否能够关紧并保证能够锁好</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18</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检查车轮组轴承有无异常，检查车轮有无磨损、啃轨</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19</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观察扫描车电缆拖链、滑轨或卷筒运行是否顺畅，拖链导槽内有无异物</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20</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检查轨道外观，查看有无磨损、啃轨；检查轨道螺栓紧固情况</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21</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检测标定装置工作情况，及时发现隐患。</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22</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检查并及时做好设备清洗工作</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23</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手动运行扫描车，通过看、听、摸来观察两台变频电机及减速箱工作是否正常，有无异响、过热及松动，扫描车行走是否平稳。</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24</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检查射线源舱是否有开关记录</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25</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检查横竖臂送风管是否良好、密封</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26</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检查配电柜操作面板上各指示灯、旋钮及按钮等是否工作正常</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扫描/传送控制-配电系统</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27</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重点检查传感器、光电开关、光幕、摄像头等部位</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28</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控制柜上电及各分系统启动完成后，查看PLC指示灯，检查总线通讯及PLC硬件工作状态是否正常。</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29</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查看电气监控有无报警</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30</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扫描装置操作面板各指示灯状态</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31</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在winnc界面检查设备各分系统显示状态是否正常</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32</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i/>
                <w:iCs/>
                <w:kern w:val="2"/>
                <w:sz w:val="21"/>
                <w:szCs w:val="21"/>
              </w:rPr>
            </w:pPr>
            <w:r>
              <w:rPr>
                <w:rFonts w:ascii="宋体" w:eastAsia="宋体" w:cs="宋体" w:hint="eastAsia"/>
                <w:kern w:val="2"/>
                <w:sz w:val="21"/>
                <w:szCs w:val="21"/>
              </w:rPr>
              <w:t>测试远程上电功能是否正常</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33</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行车限位的地面挡板和行程开关紧固情况；减速接近开关有无松动</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扫描/传送控制-安全联锁</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34</w:t>
            </w:r>
          </w:p>
        </w:tc>
        <w:tc>
          <w:tcPr>
            <w:tcW w:w="5386" w:type="dxa"/>
            <w:tcBorders>
              <w:top w:val="single" w:sz="4" w:space="0" w:color="auto"/>
              <w:left w:val="single" w:sz="4" w:space="0" w:color="auto"/>
              <w:bottom w:val="single" w:sz="4" w:space="0" w:color="auto"/>
              <w:right w:val="single" w:sz="4" w:space="0" w:color="auto"/>
            </w:tcBorders>
            <w:noWrap/>
          </w:tcPr>
          <w:p>
            <w:pPr>
              <w:widowControl/>
              <w:autoSpaceDN w:val="0"/>
              <w:spacing w:line="240" w:lineRule="auto"/>
              <w:ind w:firstLine="0"/>
              <w:jc w:val="left"/>
              <w:rPr>
                <w:rFonts w:ascii="宋体" w:eastAsia="宋体" w:cs="宋体"/>
                <w:kern w:val="2"/>
                <w:sz w:val="21"/>
                <w:szCs w:val="21"/>
              </w:rPr>
            </w:pPr>
            <w:r>
              <w:rPr>
                <w:rFonts w:ascii="宋体" w:eastAsia="宋体" w:cs="宋体" w:hint="eastAsia"/>
                <w:kern w:val="2"/>
                <w:sz w:val="21"/>
                <w:szCs w:val="21"/>
              </w:rPr>
              <w:t>检查加速器出束时灯丝DAC、注入DAC、收缩DAC</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35</w:t>
            </w:r>
          </w:p>
        </w:tc>
        <w:tc>
          <w:tcPr>
            <w:tcW w:w="5386" w:type="dxa"/>
            <w:tcBorders>
              <w:top w:val="single" w:sz="4" w:space="0" w:color="auto"/>
              <w:left w:val="single" w:sz="4" w:space="0" w:color="auto"/>
              <w:bottom w:val="single" w:sz="4" w:space="0" w:color="auto"/>
              <w:right w:val="single" w:sz="4" w:space="0" w:color="auto"/>
            </w:tcBorders>
            <w:noWrap/>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检查加速器IGBT、功率模块、脉冲变换器、辐射器温度</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36</w:t>
            </w:r>
          </w:p>
        </w:tc>
        <w:tc>
          <w:tcPr>
            <w:tcW w:w="5386" w:type="dxa"/>
            <w:tcBorders>
              <w:top w:val="single" w:sz="4" w:space="0" w:color="auto"/>
              <w:left w:val="single" w:sz="4" w:space="0" w:color="auto"/>
              <w:bottom w:val="single" w:sz="4" w:space="0" w:color="auto"/>
              <w:right w:val="single" w:sz="4" w:space="0" w:color="auto"/>
            </w:tcBorders>
            <w:noWrap/>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检查加速器剂量率、最大能量</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37</w:t>
            </w:r>
          </w:p>
        </w:tc>
        <w:tc>
          <w:tcPr>
            <w:tcW w:w="5386" w:type="dxa"/>
            <w:tcBorders>
              <w:top w:val="single" w:sz="4" w:space="0" w:color="auto"/>
              <w:left w:val="single" w:sz="4" w:space="0" w:color="auto"/>
              <w:bottom w:val="single" w:sz="4" w:space="0" w:color="auto"/>
              <w:right w:val="single" w:sz="4" w:space="0" w:color="auto"/>
            </w:tcBorders>
            <w:noWrap/>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检查出束时注入电流与反馈电流一致性</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38</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放射源工作位检查</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39</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X光机出束电压、电流</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40</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检查电缆可见部分外观有无损坏，有无打火痕迹。</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41</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检查油冷系统散热风扇工作状态</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42</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检查扫描通道两边的车辆导向管是否安全</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辅助设备</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44</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宋体"/>
                <w:kern w:val="2"/>
                <w:sz w:val="21"/>
                <w:szCs w:val="21"/>
              </w:rPr>
            </w:pPr>
            <w:r>
              <w:rPr>
                <w:rFonts w:ascii="宋体" w:eastAsia="宋体" w:cs="宋体" w:hint="eastAsia"/>
                <w:kern w:val="2"/>
                <w:sz w:val="21"/>
                <w:szCs w:val="21"/>
              </w:rPr>
              <w:t>加速器舱空调、网络柜空调、电气柜空调、探测器舱空调工作状态</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辅助设备</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45</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检查加速器舱风扇、臂架空调工作状态</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辅助设备</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46</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检查网络柜、电气柜、加速器、扫描大厅照明灯</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辅助设备</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47</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检查警灯警铃、蜂鸣器、红外报警装置、交通灯工作状态</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辐射安全检查</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27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48</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运行电动档杆，观察档杆运行是否正常</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辐射安全检查</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27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49</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检查辐射防护区有无异常及其护栏、警示牌有无破损</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辐射安全检查</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27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50</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检查安全联锁钥匙工作是否正常</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辐射安全检查</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27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51</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辐射防护仪表检查（区域监测仪、个人剂量报警仪）</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辐射安全检查</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27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52</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检查扫描大厅入口、出口处环境剂量（出束时，使用个人剂量报警仪检测剂量正常）</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辐射安全检查</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27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53</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检查室外摄像机、交通灯、警示灯及蜂鸣器运行状态，对存在问题进行及时排查处置</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辐射安全检查</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54</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检查操作室剂量（出束时，使用个人剂量报警仪检测剂量正常）</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辐射安全检查</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55</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检查急停开关、拉线开关、极限限位开关工作是否正常</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辐射安全检查</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56</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检查设备辐射防护标志、出入口标牌及急停按下标识牌是否完好、清晰</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辐射安全检查</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57</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检查地磅表头状态</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地磅</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58</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模拟触发地感线圈，观察补光灯运行状况、查看拍照图像。</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底盘拍照</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59</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模拟触发地感线圈，观察补光灯运行状况、查看拍照图像。</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车牌识别/电子车牌</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60</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过第一辆车后检查电子车牌识别情况</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车牌识别/电子车牌</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61</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检查放射性核素识别系统</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放射性物质检查</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62</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危化品探测系统工作是否正常</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危化品检查</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日</w:t>
            </w:r>
          </w:p>
        </w:tc>
      </w:tr>
      <w:tr>
        <w:tblPrEx>
          <w:tblW w:w="9357" w:type="dxa"/>
          <w:jc w:val="left"/>
          <w:tblInd w:w="-106" w:type="dxa"/>
          <w:tblCellMar>
            <w:top w:w="0" w:type="dxa"/>
            <w:left w:w="108" w:type="dxa"/>
            <w:bottom w:w="0" w:type="dxa"/>
            <w:right w:w="108" w:type="dxa"/>
          </w:tblCellMar>
        </w:tblPrEx>
        <w:trPr>
          <w:trHeight w:val="340"/>
          <w:jc w:val="left"/>
        </w:trPr>
        <w:tc>
          <w:tcPr>
            <w:tcW w:w="71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63</w:t>
            </w:r>
          </w:p>
        </w:tc>
        <w:tc>
          <w:tcPr>
            <w:tcW w:w="538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液压升降平台工作状态</w:t>
            </w:r>
          </w:p>
        </w:tc>
        <w:tc>
          <w:tcPr>
            <w:tcW w:w="255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检查平台</w:t>
            </w:r>
          </w:p>
        </w:tc>
        <w:tc>
          <w:tcPr>
            <w:tcW w:w="7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周</w:t>
            </w:r>
          </w:p>
        </w:tc>
      </w:tr>
    </w:tbl>
    <w:p>
      <w:pPr>
        <w:autoSpaceDN w:val="0"/>
        <w:adjustRightInd w:val="0"/>
        <w:snapToGrid w:val="0"/>
        <w:spacing w:line="240" w:lineRule="auto"/>
        <w:ind w:firstLine="0"/>
        <w:rPr>
          <w:rFonts w:ascii="宋体" w:eastAsia="宋体" w:cs="Times New Roman"/>
          <w:color w:val="000000"/>
          <w:kern w:val="2"/>
          <w:sz w:val="21"/>
          <w:szCs w:val="21"/>
        </w:rPr>
      </w:pPr>
      <w:r>
        <w:rPr>
          <w:rFonts w:ascii="宋体" w:eastAsia="宋体" w:cs="宋体" w:hint="eastAsia"/>
          <w:color w:val="000000"/>
          <w:kern w:val="2"/>
          <w:sz w:val="21"/>
          <w:szCs w:val="21"/>
        </w:rPr>
        <w:t>注：包括但不限于上述巡检内容。</w:t>
      </w:r>
    </w:p>
    <w:p>
      <w:pPr>
        <w:autoSpaceDN w:val="0"/>
        <w:adjustRightInd w:val="0"/>
        <w:snapToGrid w:val="0"/>
        <w:spacing w:line="240" w:lineRule="auto"/>
        <w:ind w:firstLine="0"/>
        <w:rPr>
          <w:rFonts w:ascii="Times New Roman" w:eastAsia="宋体" w:hAnsi="Times New Roman" w:cs="Times New Roman"/>
          <w:b/>
          <w:bCs/>
          <w:kern w:val="2"/>
          <w:sz w:val="21"/>
        </w:rPr>
      </w:pPr>
    </w:p>
    <w:p>
      <w:pPr>
        <w:autoSpaceDN w:val="0"/>
        <w:spacing w:line="240" w:lineRule="auto"/>
        <w:ind w:firstLine="0"/>
        <w:rPr>
          <w:rFonts w:ascii="Times New Roman" w:eastAsia="宋体" w:hAnsi="Times New Roman" w:cs="Times New Roman"/>
          <w:b/>
          <w:bCs/>
          <w:kern w:val="2"/>
          <w:sz w:val="28"/>
          <w:szCs w:val="28"/>
        </w:rPr>
      </w:pPr>
      <w:r>
        <w:rPr>
          <w:rFonts w:ascii="Times New Roman" w:eastAsia="宋体" w:hAnsi="Times New Roman" w:cs="Times New Roman"/>
          <w:b/>
          <w:bCs/>
          <w:kern w:val="2"/>
          <w:sz w:val="21"/>
        </w:rPr>
        <w:br w:type="page"/>
      </w:r>
      <w:r>
        <w:rPr>
          <w:rFonts w:ascii="Times New Roman" w:eastAsia="宋体" w:hAnsi="Times New Roman" w:cs="宋体" w:hint="eastAsia"/>
          <w:b/>
          <w:bCs/>
          <w:kern w:val="2"/>
          <w:sz w:val="28"/>
          <w:szCs w:val="28"/>
        </w:rPr>
        <w:t>附件</w:t>
      </w:r>
      <w:r>
        <w:rPr>
          <w:rFonts w:ascii="Times New Roman" w:eastAsia="宋体" w:hAnsi="Times New Roman" w:cs="Times New Roman"/>
          <w:b/>
          <w:bCs/>
          <w:kern w:val="2"/>
          <w:sz w:val="28"/>
          <w:szCs w:val="28"/>
        </w:rPr>
        <w:t>4</w:t>
      </w:r>
      <w:r>
        <w:rPr>
          <w:rFonts w:ascii="Times New Roman" w:eastAsia="宋体" w:hAnsi="Times New Roman" w:cs="宋体" w:hint="eastAsia"/>
          <w:b/>
          <w:bCs/>
          <w:kern w:val="2"/>
          <w:sz w:val="28"/>
          <w:szCs w:val="28"/>
        </w:rPr>
        <w:t>《月保养项目》</w:t>
      </w:r>
    </w:p>
    <w:tbl>
      <w:tblPr>
        <w:tblW w:w="9259" w:type="dxa"/>
        <w:jc w:val="center"/>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899"/>
        <w:gridCol w:w="4251"/>
        <w:gridCol w:w="1972"/>
        <w:gridCol w:w="1206"/>
        <w:gridCol w:w="931"/>
      </w:tblGrid>
      <w:tr>
        <w:tblPrEx>
          <w:tblW w:w="9259" w:type="dxa"/>
          <w:jc w:val="center"/>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trHeight w:val="270"/>
          <w:jc w:val="center"/>
        </w:trPr>
        <w:tc>
          <w:tcPr>
            <w:tcW w:w="899" w:type="dxa"/>
            <w:tcBorders>
              <w:top w:val="single" w:sz="4" w:space="0" w:color="auto"/>
              <w:left w:val="single" w:sz="4" w:space="0" w:color="auto"/>
              <w:bottom w:val="single" w:sz="4" w:space="0" w:color="auto"/>
              <w:right w:val="single" w:sz="4" w:space="0" w:color="auto"/>
            </w:tcBorders>
            <w:shd w:val="clear" w:color="auto" w:fill="BFBFBF"/>
            <w:noWrap/>
            <w:vAlign w:val="center"/>
          </w:tcPr>
          <w:p>
            <w:pPr>
              <w:widowControl/>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序号</w:t>
            </w:r>
          </w:p>
        </w:tc>
        <w:tc>
          <w:tcPr>
            <w:tcW w:w="4251" w:type="dxa"/>
            <w:tcBorders>
              <w:top w:val="single" w:sz="4" w:space="0" w:color="auto"/>
              <w:left w:val="single" w:sz="4" w:space="0" w:color="auto"/>
              <w:bottom w:val="single" w:sz="4" w:space="0" w:color="auto"/>
              <w:right w:val="single" w:sz="4" w:space="0" w:color="auto"/>
            </w:tcBorders>
            <w:shd w:val="clear" w:color="auto" w:fill="BFBFBF"/>
            <w:noWrap/>
            <w:vAlign w:val="center"/>
          </w:tcPr>
          <w:p>
            <w:pPr>
              <w:widowControl/>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保养项目</w:t>
            </w:r>
          </w:p>
        </w:tc>
        <w:tc>
          <w:tcPr>
            <w:tcW w:w="1972" w:type="dxa"/>
            <w:tcBorders>
              <w:top w:val="single" w:sz="4" w:space="0" w:color="auto"/>
              <w:left w:val="single" w:sz="4" w:space="0" w:color="auto"/>
              <w:bottom w:val="single" w:sz="4" w:space="0" w:color="auto"/>
              <w:right w:val="single" w:sz="4" w:space="0" w:color="auto"/>
            </w:tcBorders>
            <w:shd w:val="clear" w:color="auto" w:fill="BFBFBF"/>
            <w:noWrap/>
            <w:vAlign w:val="center"/>
          </w:tcPr>
          <w:p>
            <w:pPr>
              <w:widowControl/>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项目分类</w:t>
            </w:r>
          </w:p>
        </w:tc>
        <w:tc>
          <w:tcPr>
            <w:tcW w:w="1206" w:type="dxa"/>
            <w:tcBorders>
              <w:top w:val="single" w:sz="4" w:space="0" w:color="auto"/>
              <w:left w:val="single" w:sz="4" w:space="0" w:color="auto"/>
              <w:bottom w:val="single" w:sz="4" w:space="0" w:color="auto"/>
              <w:right w:val="single" w:sz="4" w:space="0" w:color="auto"/>
            </w:tcBorders>
            <w:shd w:val="clear" w:color="auto" w:fill="BFBFBF"/>
            <w:noWrap/>
            <w:vAlign w:val="center"/>
          </w:tcPr>
          <w:p>
            <w:pPr>
              <w:widowControl/>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完成要求</w:t>
            </w:r>
          </w:p>
        </w:tc>
        <w:tc>
          <w:tcPr>
            <w:tcW w:w="931" w:type="dxa"/>
            <w:tcBorders>
              <w:top w:val="single" w:sz="4" w:space="0" w:color="auto"/>
              <w:left w:val="single" w:sz="4" w:space="0" w:color="auto"/>
              <w:bottom w:val="single" w:sz="4" w:space="0" w:color="auto"/>
              <w:right w:val="single" w:sz="4" w:space="0" w:color="auto"/>
            </w:tcBorders>
            <w:shd w:val="clear" w:color="auto" w:fill="BFBFBF"/>
            <w:noWrap/>
            <w:vAlign w:val="center"/>
          </w:tcPr>
          <w:p>
            <w:pPr>
              <w:widowControl/>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周期</w:t>
            </w:r>
          </w:p>
        </w:tc>
      </w:tr>
      <w:tr>
        <w:tblPrEx>
          <w:tblW w:w="9259" w:type="dxa"/>
          <w:jc w:val="center"/>
          <w:tblCellMar>
            <w:top w:w="0" w:type="dxa"/>
            <w:left w:w="108" w:type="dxa"/>
            <w:bottom w:w="0" w:type="dxa"/>
            <w:right w:w="108" w:type="dxa"/>
          </w:tblCellMar>
        </w:tblPrEx>
        <w:trPr>
          <w:trHeight w:val="340"/>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检查UPS工作状态</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运行检查-硬件</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根据状态选做</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348"/>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检查横、竖探测器臂盖板密封是否完好</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探测器</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271"/>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检查紧固大梁、机械结构，紧固探测器臂架固定螺栓</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539"/>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检查各连接螺栓是否松动，横、竖探测器、准直器位置是否偏移，如有偏移，重新校准</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439"/>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检查标定装置各部位是否有松动现象</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配置选做</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539"/>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6</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检查系统部件有无锈蚀、起鼓、裂纹等现象，有计划实施防锈和补漆处理</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539"/>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7</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检查扫描车的限位开关和限位挡块，看其是否松动、变形，扫描车停止位置是否正确，检查电机制动器效能</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539"/>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8</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检查拖链有无翘起、龟裂老化、异物现象，检查两边护板及膨胀螺丝有无松动现象，运行是否平稳</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配置选做</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454"/>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9</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检查一次扫描车电缆拖链、滑轨或卷筒，看其接头有无错位</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配置选做</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454"/>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10</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对所有光电及反射板端面进行清洁</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454"/>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11</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检查稳压电源柜输出电压是否稳定</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配置选做</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454"/>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12</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清洁接近感应开关的端面</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282"/>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13</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清洁射线源舱（室）</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454"/>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14</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电源箱(FILAMENT)灯丝电压、电源箱(INJECTOR)注入电压、电源箱(CONTRTACTOR)收缩电压检查</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454"/>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15</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X光机训管</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根据状态选做</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454"/>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16</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检查X光机冷却器油位、摇源缆手轮动作灵活</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329"/>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17</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放射源收到位检查（加电）</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263"/>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18</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放射源出到位置检查（加电）</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266"/>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19</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检查维护射线源后空载灰度值（出束）</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271"/>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20</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检查零点灰度值（不出束）</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探测器</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454"/>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21</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检查产品的辐射安全设施状态（主要包括声光报警、广播、摄像监控、操作台钥匙联锁、门联锁、急停等能否正常工作）</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辐射安全检查</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454"/>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22</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检查室外交通灯、LED屏防水密封性能及显示效果</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信号指示</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r>
        <w:tblPrEx>
          <w:tblW w:w="9259" w:type="dxa"/>
          <w:jc w:val="center"/>
          <w:tblCellMar>
            <w:top w:w="0" w:type="dxa"/>
            <w:left w:w="108" w:type="dxa"/>
            <w:bottom w:w="0" w:type="dxa"/>
            <w:right w:w="108" w:type="dxa"/>
          </w:tblCellMar>
        </w:tblPrEx>
        <w:trPr>
          <w:trHeight w:val="454"/>
          <w:jc w:val="center"/>
        </w:trPr>
        <w:tc>
          <w:tcPr>
            <w:tcW w:w="89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23</w:t>
            </w:r>
          </w:p>
        </w:tc>
        <w:tc>
          <w:tcPr>
            <w:tcW w:w="425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检查硬盘录像机录像功能、查询功能、硬盘空间检查</w:t>
            </w:r>
          </w:p>
        </w:tc>
        <w:tc>
          <w:tcPr>
            <w:tcW w:w="197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视频监控系统</w:t>
            </w:r>
          </w:p>
        </w:tc>
        <w:tc>
          <w:tcPr>
            <w:tcW w:w="1206"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93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月</w:t>
            </w:r>
          </w:p>
        </w:tc>
      </w:tr>
    </w:tbl>
    <w:p>
      <w:pPr>
        <w:autoSpaceDN w:val="0"/>
        <w:adjustRightInd w:val="0"/>
        <w:snapToGrid w:val="0"/>
        <w:spacing w:line="240" w:lineRule="auto"/>
        <w:ind w:firstLine="0"/>
        <w:rPr>
          <w:rFonts w:ascii="Times New Roman" w:eastAsia="宋体" w:hAnsi="Times New Roman" w:cs="Times New Roman"/>
          <w:b/>
          <w:bCs/>
          <w:color w:val="000000"/>
          <w:kern w:val="2"/>
          <w:sz w:val="21"/>
        </w:rPr>
      </w:pPr>
      <w:r>
        <w:rPr>
          <w:rFonts w:ascii="Times New Roman" w:eastAsia="宋体" w:hAnsi="Times New Roman" w:cs="宋体" w:hint="eastAsia"/>
          <w:color w:val="000000"/>
          <w:kern w:val="2"/>
          <w:sz w:val="21"/>
        </w:rPr>
        <w:t>注：包括但不限于上述保养内容。</w:t>
      </w:r>
    </w:p>
    <w:p>
      <w:pPr>
        <w:autoSpaceDN w:val="0"/>
        <w:adjustRightInd w:val="0"/>
        <w:snapToGrid w:val="0"/>
        <w:spacing w:line="240" w:lineRule="auto"/>
        <w:ind w:firstLine="0"/>
        <w:rPr>
          <w:rFonts w:ascii="Times New Roman" w:eastAsia="宋体" w:hAnsi="Times New Roman" w:cs="宋体"/>
          <w:b/>
          <w:bCs/>
          <w:kern w:val="2"/>
          <w:sz w:val="21"/>
        </w:rPr>
      </w:pPr>
    </w:p>
    <w:p>
      <w:pPr>
        <w:autoSpaceDN w:val="0"/>
        <w:spacing w:line="240" w:lineRule="auto"/>
        <w:ind w:firstLine="0"/>
        <w:rPr>
          <w:rFonts w:ascii="Times New Roman" w:eastAsia="宋体" w:hAnsi="Times New Roman" w:cs="Times New Roman"/>
          <w:kern w:val="2"/>
          <w:sz w:val="28"/>
          <w:szCs w:val="28"/>
        </w:rPr>
      </w:pPr>
      <w:r>
        <w:rPr>
          <w:rFonts w:ascii="Times New Roman" w:eastAsia="宋体" w:hAnsi="Times New Roman" w:cs="宋体"/>
          <w:b/>
          <w:bCs/>
          <w:kern w:val="2"/>
          <w:sz w:val="21"/>
        </w:rPr>
        <w:br w:type="page"/>
      </w:r>
      <w:r>
        <w:rPr>
          <w:rFonts w:ascii="Times New Roman" w:eastAsia="宋体" w:hAnsi="Times New Roman" w:cs="宋体" w:hint="eastAsia"/>
          <w:b/>
          <w:bCs/>
          <w:kern w:val="2"/>
          <w:sz w:val="28"/>
          <w:szCs w:val="28"/>
        </w:rPr>
        <w:t>附件</w:t>
      </w:r>
      <w:r>
        <w:rPr>
          <w:rFonts w:ascii="Times New Roman" w:eastAsia="宋体" w:hAnsi="Times New Roman" w:cs="Times New Roman"/>
          <w:b/>
          <w:bCs/>
          <w:kern w:val="2"/>
          <w:sz w:val="28"/>
          <w:szCs w:val="28"/>
        </w:rPr>
        <w:t>5</w:t>
      </w:r>
      <w:r>
        <w:rPr>
          <w:rFonts w:ascii="Times New Roman" w:eastAsia="宋体" w:hAnsi="Times New Roman" w:cs="宋体" w:hint="eastAsia"/>
          <w:b/>
          <w:bCs/>
          <w:kern w:val="2"/>
          <w:sz w:val="28"/>
          <w:szCs w:val="28"/>
        </w:rPr>
        <w:t>《季保养项目》</w:t>
      </w:r>
    </w:p>
    <w:tbl>
      <w:tblPr>
        <w:tblW w:w="9360" w:type="dxa"/>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760"/>
        <w:gridCol w:w="4440"/>
        <w:gridCol w:w="2000"/>
        <w:gridCol w:w="1442"/>
        <w:gridCol w:w="718"/>
      </w:tblGrid>
      <w:tr>
        <w:tblPrEx>
          <w:tblW w:w="9360" w:type="dxa"/>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270"/>
          <w:jc w:val="center"/>
        </w:trPr>
        <w:tc>
          <w:tcPr>
            <w:tcW w:w="760" w:type="dxa"/>
            <w:tcBorders>
              <w:top w:val="single" w:sz="4" w:space="0" w:color="auto"/>
              <w:left w:val="single" w:sz="4" w:space="0" w:color="auto"/>
              <w:bottom w:val="single" w:sz="4" w:space="0" w:color="auto"/>
              <w:right w:val="single" w:sz="4" w:space="0" w:color="auto"/>
            </w:tcBorders>
            <w:shd w:val="clear" w:color="auto" w:fill="BFBFBF"/>
            <w:noWrap/>
            <w:vAlign w:val="center"/>
          </w:tcPr>
          <w:p>
            <w:pPr>
              <w:widowControl/>
              <w:autoSpaceDN w:val="0"/>
              <w:spacing w:line="276" w:lineRule="auto"/>
              <w:ind w:firstLine="0"/>
              <w:jc w:val="center"/>
              <w:rPr>
                <w:rFonts w:ascii="宋体" w:eastAsia="宋体" w:cs="Times New Roman"/>
                <w:b/>
                <w:bCs/>
                <w:kern w:val="2"/>
                <w:sz w:val="21"/>
              </w:rPr>
            </w:pPr>
            <w:r>
              <w:rPr>
                <w:rFonts w:ascii="宋体" w:eastAsia="宋体" w:cs="宋体" w:hint="eastAsia"/>
                <w:b/>
                <w:bCs/>
                <w:kern w:val="2"/>
                <w:sz w:val="21"/>
              </w:rPr>
              <w:t>序号</w:t>
            </w:r>
          </w:p>
        </w:tc>
        <w:tc>
          <w:tcPr>
            <w:tcW w:w="4440" w:type="dxa"/>
            <w:tcBorders>
              <w:top w:val="single" w:sz="4" w:space="0" w:color="auto"/>
              <w:left w:val="nil"/>
              <w:bottom w:val="single" w:sz="4" w:space="0" w:color="auto"/>
              <w:right w:val="single" w:sz="4" w:space="0" w:color="auto"/>
            </w:tcBorders>
            <w:shd w:val="clear" w:color="auto" w:fill="BFBFBF"/>
            <w:noWrap/>
            <w:vAlign w:val="center"/>
          </w:tcPr>
          <w:p>
            <w:pPr>
              <w:widowControl/>
              <w:autoSpaceDN w:val="0"/>
              <w:spacing w:line="276" w:lineRule="auto"/>
              <w:ind w:firstLine="0"/>
              <w:jc w:val="center"/>
              <w:rPr>
                <w:rFonts w:ascii="宋体" w:eastAsia="宋体" w:cs="Times New Roman"/>
                <w:b/>
                <w:bCs/>
                <w:kern w:val="2"/>
                <w:sz w:val="21"/>
              </w:rPr>
            </w:pPr>
            <w:r>
              <w:rPr>
                <w:rFonts w:ascii="宋体" w:eastAsia="宋体" w:cs="宋体" w:hint="eastAsia"/>
                <w:b/>
                <w:bCs/>
                <w:kern w:val="2"/>
                <w:sz w:val="21"/>
              </w:rPr>
              <w:t>保养项目</w:t>
            </w:r>
          </w:p>
        </w:tc>
        <w:tc>
          <w:tcPr>
            <w:tcW w:w="2000" w:type="dxa"/>
            <w:tcBorders>
              <w:top w:val="single" w:sz="4" w:space="0" w:color="auto"/>
              <w:left w:val="nil"/>
              <w:bottom w:val="single" w:sz="4" w:space="0" w:color="auto"/>
              <w:right w:val="single" w:sz="4" w:space="0" w:color="auto"/>
            </w:tcBorders>
            <w:shd w:val="clear" w:color="auto" w:fill="BFBFBF"/>
            <w:noWrap/>
            <w:vAlign w:val="center"/>
          </w:tcPr>
          <w:p>
            <w:pPr>
              <w:widowControl/>
              <w:autoSpaceDN w:val="0"/>
              <w:spacing w:line="276" w:lineRule="auto"/>
              <w:ind w:firstLine="0"/>
              <w:jc w:val="center"/>
              <w:rPr>
                <w:rFonts w:ascii="宋体" w:eastAsia="宋体" w:cs="Times New Roman"/>
                <w:b/>
                <w:bCs/>
                <w:kern w:val="2"/>
                <w:sz w:val="21"/>
              </w:rPr>
            </w:pPr>
            <w:r>
              <w:rPr>
                <w:rFonts w:ascii="宋体" w:eastAsia="宋体" w:cs="宋体" w:hint="eastAsia"/>
                <w:b/>
                <w:bCs/>
                <w:kern w:val="2"/>
                <w:sz w:val="21"/>
              </w:rPr>
              <w:t>项目分类</w:t>
            </w:r>
          </w:p>
        </w:tc>
        <w:tc>
          <w:tcPr>
            <w:tcW w:w="1442" w:type="dxa"/>
            <w:tcBorders>
              <w:top w:val="single" w:sz="4" w:space="0" w:color="auto"/>
              <w:left w:val="nil"/>
              <w:bottom w:val="single" w:sz="4" w:space="0" w:color="auto"/>
              <w:right w:val="single" w:sz="4" w:space="0" w:color="auto"/>
            </w:tcBorders>
            <w:shd w:val="clear" w:color="auto" w:fill="BFBFBF"/>
            <w:noWrap/>
            <w:vAlign w:val="center"/>
          </w:tcPr>
          <w:p>
            <w:pPr>
              <w:widowControl/>
              <w:autoSpaceDN w:val="0"/>
              <w:spacing w:line="276" w:lineRule="auto"/>
              <w:ind w:firstLine="0"/>
              <w:jc w:val="center"/>
              <w:rPr>
                <w:rFonts w:ascii="宋体" w:eastAsia="宋体" w:cs="Times New Roman"/>
                <w:b/>
                <w:bCs/>
                <w:kern w:val="2"/>
                <w:sz w:val="21"/>
              </w:rPr>
            </w:pPr>
            <w:r>
              <w:rPr>
                <w:rFonts w:ascii="宋体" w:eastAsia="宋体" w:cs="宋体" w:hint="eastAsia"/>
                <w:b/>
                <w:bCs/>
                <w:kern w:val="2"/>
                <w:sz w:val="21"/>
              </w:rPr>
              <w:t>完成要求</w:t>
            </w:r>
          </w:p>
        </w:tc>
        <w:tc>
          <w:tcPr>
            <w:tcW w:w="718" w:type="dxa"/>
            <w:tcBorders>
              <w:top w:val="single" w:sz="4" w:space="0" w:color="auto"/>
              <w:left w:val="nil"/>
              <w:bottom w:val="single" w:sz="4" w:space="0" w:color="auto"/>
              <w:right w:val="single" w:sz="4" w:space="0" w:color="auto"/>
            </w:tcBorders>
            <w:shd w:val="clear" w:color="auto" w:fill="BFBFBF"/>
            <w:noWrap/>
            <w:vAlign w:val="center"/>
          </w:tcPr>
          <w:p>
            <w:pPr>
              <w:widowControl/>
              <w:autoSpaceDN w:val="0"/>
              <w:spacing w:line="276" w:lineRule="auto"/>
              <w:ind w:firstLine="0"/>
              <w:jc w:val="center"/>
              <w:rPr>
                <w:rFonts w:ascii="宋体" w:eastAsia="宋体" w:cs="Times New Roman"/>
                <w:b/>
                <w:bCs/>
                <w:kern w:val="2"/>
                <w:sz w:val="21"/>
              </w:rPr>
            </w:pPr>
            <w:r>
              <w:rPr>
                <w:rFonts w:ascii="宋体" w:eastAsia="宋体" w:cs="宋体" w:hint="eastAsia"/>
                <w:b/>
                <w:bCs/>
                <w:kern w:val="2"/>
                <w:sz w:val="21"/>
              </w:rPr>
              <w:t>周期</w:t>
            </w:r>
          </w:p>
        </w:tc>
      </w:tr>
      <w:tr>
        <w:tblPrEx>
          <w:tblW w:w="9360" w:type="dxa"/>
          <w:jc w:val="center"/>
          <w:tblCellMar>
            <w:top w:w="0" w:type="dxa"/>
            <w:left w:w="108" w:type="dxa"/>
            <w:bottom w:w="0" w:type="dxa"/>
            <w:right w:w="108" w:type="dxa"/>
          </w:tblCellMar>
        </w:tblPrEx>
        <w:trPr>
          <w:trHeight w:val="624"/>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清洁箱号识别系统相机和补光灯前玻璃窗上的灰尘和雨渍，清洁光电对射开关表面的灰尘、工控机机箱内部灰尘等</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箱号识别</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810"/>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2</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检查箱号识别系统所有电缆外观是否破损、接头是否松动；检查绝缘电阻及接地电阻；箱号照片角度，清晰度，箱号识别率等</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箱号识别</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540"/>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3</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检查探测器信号采集单元连线（采集机箱、DCU、LIF）</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探测器</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539"/>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4</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检查中间传送过渡装置，加注润滑油</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根据配置选做</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539"/>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5</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转向装置，给推杆和相关部位加注润滑油</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根据配置选做</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539"/>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6</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清洁各个门铰链、锁及把手等活动部分</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539"/>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7</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加注润滑油（各个门铰链、锁及把手等活动部分）</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624"/>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8</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检查各个门铰链、锁及把手等活动部分门锁、把手螺丝有无松动，如松动则应紧固。</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680"/>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9</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查看电缆有无老化现象并及时进行排除有关问题</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624"/>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10</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检查控制柜、配电柜、分线盒内部端子是否有松动、电线虚接等情况，并紧固。</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624"/>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11</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清洁、检查挡杆，检查闸机的各个部位的连接情况，对轴承加润滑油，根据需要更换减速机齿轮油</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539"/>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12</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室外机柜、箱防水密闭检查</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539"/>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13</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检查通道机柜并及时进行除尘环境清理</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539"/>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14</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检查高压回路电缆及接头；检查加速器风冷机清洁度；检查X射线管是否漏油</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539"/>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15</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检查一次各空调，清洗室内机滤网，做好室外机清洁，检查其制冷和制热工作情况，效果变差应及时加制冷剂。</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辅助设备</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539"/>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16</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检查底盘拍照系统所有电缆外观是否破损、接头是否松动；检查绝缘电阻及接地电阻；底盘照片完整度，清晰度等</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底盘拍照</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配置选做</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624"/>
          <w:jc w:val="center"/>
        </w:trPr>
        <w:tc>
          <w:tcPr>
            <w:tcW w:w="7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17</w:t>
            </w:r>
          </w:p>
        </w:tc>
        <w:tc>
          <w:tcPr>
            <w:tcW w:w="444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更换底盘拍照系统补光灯，调整触发时间、触发灵敏度等</w:t>
            </w:r>
          </w:p>
        </w:tc>
        <w:tc>
          <w:tcPr>
            <w:tcW w:w="20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底盘拍照</w:t>
            </w:r>
          </w:p>
        </w:tc>
        <w:tc>
          <w:tcPr>
            <w:tcW w:w="1442"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根据状态选做</w:t>
            </w:r>
          </w:p>
        </w:tc>
        <w:tc>
          <w:tcPr>
            <w:tcW w:w="718"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r>
        <w:tblPrEx>
          <w:tblW w:w="9360" w:type="dxa"/>
          <w:jc w:val="center"/>
          <w:tblCellMar>
            <w:top w:w="0" w:type="dxa"/>
            <w:left w:w="108" w:type="dxa"/>
            <w:bottom w:w="0" w:type="dxa"/>
            <w:right w:w="108" w:type="dxa"/>
          </w:tblCellMar>
        </w:tblPrEx>
        <w:trPr>
          <w:trHeight w:val="624"/>
          <w:jc w:val="center"/>
        </w:trPr>
        <w:tc>
          <w:tcPr>
            <w:tcW w:w="760"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18</w:t>
            </w:r>
          </w:p>
        </w:tc>
        <w:tc>
          <w:tcPr>
            <w:tcW w:w="444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检查车牌识别/电子车牌系统所有电缆外观是否破损、接头是否松动；检查绝缘电阻及接地电阻；车牌照片角度，清晰度，车牌识别率等</w:t>
            </w:r>
          </w:p>
        </w:tc>
        <w:tc>
          <w:tcPr>
            <w:tcW w:w="2000"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车牌识别/电子车牌</w:t>
            </w:r>
          </w:p>
        </w:tc>
        <w:tc>
          <w:tcPr>
            <w:tcW w:w="1442"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18"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季</w:t>
            </w:r>
          </w:p>
        </w:tc>
      </w:tr>
    </w:tbl>
    <w:p>
      <w:pPr>
        <w:autoSpaceDN w:val="0"/>
        <w:adjustRightInd w:val="0"/>
        <w:snapToGrid w:val="0"/>
        <w:spacing w:line="240" w:lineRule="auto"/>
        <w:ind w:firstLine="0"/>
        <w:rPr>
          <w:rFonts w:ascii="Times New Roman" w:eastAsia="宋体" w:hAnsi="Times New Roman" w:cs="Times New Roman"/>
          <w:b/>
          <w:bCs/>
          <w:color w:val="000000"/>
          <w:kern w:val="2"/>
          <w:sz w:val="21"/>
          <w:szCs w:val="21"/>
        </w:rPr>
      </w:pPr>
      <w:r>
        <w:rPr>
          <w:rFonts w:ascii="Times New Roman" w:eastAsia="宋体" w:hAnsi="Times New Roman" w:cs="宋体" w:hint="eastAsia"/>
          <w:color w:val="000000"/>
          <w:kern w:val="2"/>
          <w:sz w:val="21"/>
          <w:szCs w:val="21"/>
        </w:rPr>
        <w:t>注：包括但不限于上述保养内容。</w:t>
      </w:r>
    </w:p>
    <w:p>
      <w:pPr>
        <w:autoSpaceDN w:val="0"/>
        <w:adjustRightInd w:val="0"/>
        <w:snapToGrid w:val="0"/>
        <w:spacing w:line="240" w:lineRule="auto"/>
        <w:ind w:firstLine="0"/>
        <w:rPr>
          <w:rFonts w:ascii="Times New Roman" w:eastAsia="宋体" w:hAnsi="Times New Roman" w:cs="Times New Roman"/>
          <w:kern w:val="2"/>
          <w:sz w:val="21"/>
        </w:rPr>
      </w:pPr>
      <w:r>
        <w:rPr>
          <w:rFonts w:ascii="Times New Roman" w:eastAsia="宋体" w:hAnsi="Times New Roman" w:cs="宋体"/>
          <w:b/>
          <w:bCs/>
          <w:kern w:val="2"/>
          <w:sz w:val="28"/>
          <w:szCs w:val="28"/>
        </w:rPr>
        <w:br w:type="page"/>
      </w:r>
      <w:r>
        <w:rPr>
          <w:rFonts w:ascii="Times New Roman" w:eastAsia="宋体" w:hAnsi="Times New Roman" w:cs="宋体" w:hint="eastAsia"/>
          <w:b/>
          <w:bCs/>
          <w:kern w:val="2"/>
          <w:sz w:val="28"/>
          <w:szCs w:val="28"/>
        </w:rPr>
        <w:t>附件</w:t>
      </w:r>
      <w:r>
        <w:rPr>
          <w:rFonts w:ascii="Times New Roman" w:eastAsia="宋体" w:hAnsi="Times New Roman" w:cs="Times New Roman"/>
          <w:b/>
          <w:bCs/>
          <w:kern w:val="2"/>
          <w:sz w:val="28"/>
          <w:szCs w:val="28"/>
        </w:rPr>
        <w:t>6</w:t>
      </w:r>
      <w:r>
        <w:rPr>
          <w:rFonts w:ascii="Times New Roman" w:eastAsia="宋体" w:hAnsi="Times New Roman" w:cs="宋体" w:hint="eastAsia"/>
          <w:b/>
          <w:bCs/>
          <w:kern w:val="2"/>
          <w:sz w:val="28"/>
          <w:szCs w:val="28"/>
        </w:rPr>
        <w:t>《半年保养项目》</w:t>
      </w:r>
    </w:p>
    <w:tbl>
      <w:tblPr>
        <w:tblW w:w="9180" w:type="dxa"/>
        <w:jc w:val="center"/>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720"/>
        <w:gridCol w:w="4300"/>
        <w:gridCol w:w="1777"/>
        <w:gridCol w:w="1560"/>
        <w:gridCol w:w="823"/>
      </w:tblGrid>
      <w:tr>
        <w:tblPrEx>
          <w:tblW w:w="9180" w:type="dxa"/>
          <w:jc w:val="center"/>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shd w:val="clear" w:color="auto" w:fill="BFBFBF"/>
            <w:noWrap/>
            <w:vAlign w:val="center"/>
          </w:tcPr>
          <w:p>
            <w:pPr>
              <w:widowControl/>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序号</w:t>
            </w:r>
          </w:p>
        </w:tc>
        <w:tc>
          <w:tcPr>
            <w:tcW w:w="4300" w:type="dxa"/>
            <w:tcBorders>
              <w:top w:val="single" w:sz="4" w:space="0" w:color="auto"/>
              <w:left w:val="single" w:sz="4" w:space="0" w:color="auto"/>
              <w:bottom w:val="single" w:sz="4" w:space="0" w:color="auto"/>
              <w:right w:val="single" w:sz="4" w:space="0" w:color="auto"/>
            </w:tcBorders>
            <w:shd w:val="clear" w:color="auto" w:fill="BFBFBF"/>
            <w:noWrap/>
            <w:vAlign w:val="center"/>
          </w:tcPr>
          <w:p>
            <w:pPr>
              <w:widowControl/>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保养项目</w:t>
            </w:r>
          </w:p>
        </w:tc>
        <w:tc>
          <w:tcPr>
            <w:tcW w:w="1777" w:type="dxa"/>
            <w:tcBorders>
              <w:top w:val="single" w:sz="4" w:space="0" w:color="auto"/>
              <w:left w:val="single" w:sz="4" w:space="0" w:color="auto"/>
              <w:bottom w:val="single" w:sz="4" w:space="0" w:color="auto"/>
              <w:right w:val="single" w:sz="4" w:space="0" w:color="auto"/>
            </w:tcBorders>
            <w:shd w:val="clear" w:color="auto" w:fill="BFBFBF"/>
            <w:noWrap/>
            <w:vAlign w:val="center"/>
          </w:tcPr>
          <w:p>
            <w:pPr>
              <w:widowControl/>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项目分类</w:t>
            </w:r>
          </w:p>
        </w:tc>
        <w:tc>
          <w:tcPr>
            <w:tcW w:w="1560" w:type="dxa"/>
            <w:tcBorders>
              <w:top w:val="single" w:sz="4" w:space="0" w:color="auto"/>
              <w:left w:val="single" w:sz="4" w:space="0" w:color="auto"/>
              <w:bottom w:val="single" w:sz="4" w:space="0" w:color="auto"/>
              <w:right w:val="single" w:sz="4" w:space="0" w:color="auto"/>
            </w:tcBorders>
            <w:shd w:val="clear" w:color="auto" w:fill="BFBFBF"/>
            <w:noWrap/>
            <w:vAlign w:val="center"/>
          </w:tcPr>
          <w:p>
            <w:pPr>
              <w:widowControl/>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完成要求</w:t>
            </w:r>
          </w:p>
        </w:tc>
        <w:tc>
          <w:tcPr>
            <w:tcW w:w="823" w:type="dxa"/>
            <w:tcBorders>
              <w:top w:val="single" w:sz="4" w:space="0" w:color="auto"/>
              <w:left w:val="single" w:sz="4" w:space="0" w:color="auto"/>
              <w:bottom w:val="single" w:sz="4" w:space="0" w:color="auto"/>
              <w:right w:val="single" w:sz="4" w:space="0" w:color="auto"/>
            </w:tcBorders>
            <w:shd w:val="clear" w:color="auto" w:fill="BFBFBF"/>
            <w:noWrap/>
            <w:vAlign w:val="center"/>
          </w:tcPr>
          <w:p>
            <w:pPr>
              <w:widowControl/>
              <w:autoSpaceDN w:val="0"/>
              <w:spacing w:line="240" w:lineRule="auto"/>
              <w:ind w:firstLine="0"/>
              <w:jc w:val="center"/>
              <w:rPr>
                <w:rFonts w:ascii="宋体" w:eastAsia="宋体" w:cs="Times New Roman"/>
                <w:b/>
                <w:bCs/>
                <w:kern w:val="2"/>
                <w:sz w:val="21"/>
              </w:rPr>
            </w:pPr>
            <w:r>
              <w:rPr>
                <w:rFonts w:ascii="宋体" w:eastAsia="宋体" w:cs="宋体" w:hint="eastAsia"/>
                <w:b/>
                <w:bCs/>
                <w:kern w:val="2"/>
                <w:sz w:val="21"/>
              </w:rPr>
              <w:t>周期</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标定、检测系统状态、检测系统出束能量</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整体系统</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根据配置选做</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检查实时标定位置是否正确，动作是否正确。</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整体系统</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根据配置选做</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检查UPS电源功能性放电</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供电系统</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检查线井、线缆管线（穿管、桥架等）有无损坏</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供电系统</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备份软件及数据</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运行检查-软件</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6</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检查调整补光灯、相机、传感器等位置角度</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箱号识别</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根据照片效果选做</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510"/>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7</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定期清理箱号识别系统硬盘，并定期备份系统、应用程序、工作日志、箱号记录数据等</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箱号识别</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8</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用图像软件分析空载、零点图像</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探测器</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9</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检查探测器腔室空调工作情况，并予以清洁</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探测器</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10</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车轮组轴承加注一次3号锂基润滑脂或润滑油</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11</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检查舱内设备连接螺栓是否牢固可靠、准直器缝宽尺寸是否有变化</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567"/>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12</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清洁SEW电机、减速箱，检查减速箱油量、油况，酌情换油（齿轮油，减速箱换油时间和方法见“SEW减速器操作说明书”）。</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13</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清洁整个扫描车外表</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14</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检查车轮组及轨道侧面的磨损情况、主要承载部位的焊缝</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15</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在给电状态按下漏电保护器测试键，确认其空开能够自动断开。</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扫描/传送控制-配电系统</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16</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检查设备接地电阻是否小于1Ω</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扫描/传送控制-配电系统</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510"/>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17</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测试极限开关是否有效，查看扫描车能否紧急停止。</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18</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稳压电源柜清洁保养</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配置选做</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19</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检测系统出束剂量率，要求剂量率波动范围≤5%。</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20</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监测加速管主要技术参数</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21</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清洁检查高压回路（不加电）</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22</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X射线管、高压发生器专业维护</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23</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测量周边环境剂量</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辐射安全检查</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24</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清查地磅环境</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地磅</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根据配置选做</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25</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检查调整车牌识别/电子车牌系统相机角度，图像清晰度，触发灵敏度等。</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车牌识别/电子车牌</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根据状态选做</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26</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检查摄像监控系统电缆和接线端子</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摄像监控系统</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cantSplit/>
          <w:trHeight w:val="369"/>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27</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检查调整摄像头角度、图像清晰度及麦克风状态，确保正常运行</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摄像监控系统</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根据状态选做选做</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r>
        <w:tblPrEx>
          <w:tblW w:w="9180" w:type="dxa"/>
          <w:jc w:val="center"/>
          <w:tblCellMar>
            <w:top w:w="0" w:type="dxa"/>
            <w:left w:w="108" w:type="dxa"/>
            <w:bottom w:w="0" w:type="dxa"/>
            <w:right w:w="108" w:type="dxa"/>
          </w:tblCellMar>
        </w:tblPrEx>
        <w:trPr>
          <w:trHeight w:val="510"/>
          <w:jc w:val="center"/>
        </w:trPr>
        <w:tc>
          <w:tcPr>
            <w:tcW w:w="72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28</w:t>
            </w:r>
          </w:p>
        </w:tc>
        <w:tc>
          <w:tcPr>
            <w:tcW w:w="430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检查硬盘录像机、摄像机外罩环境</w:t>
            </w:r>
          </w:p>
        </w:tc>
        <w:tc>
          <w:tcPr>
            <w:tcW w:w="1777"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left"/>
              <w:rPr>
                <w:rFonts w:ascii="宋体" w:eastAsia="宋体" w:cs="Times New Roman"/>
                <w:kern w:val="2"/>
                <w:sz w:val="21"/>
                <w:szCs w:val="21"/>
              </w:rPr>
            </w:pPr>
            <w:r>
              <w:rPr>
                <w:rFonts w:ascii="宋体" w:eastAsia="宋体" w:cs="宋体" w:hint="eastAsia"/>
                <w:kern w:val="2"/>
                <w:sz w:val="21"/>
                <w:szCs w:val="21"/>
              </w:rPr>
              <w:t>摄像监控系统</w:t>
            </w:r>
          </w:p>
        </w:tc>
        <w:tc>
          <w:tcPr>
            <w:tcW w:w="156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823"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半年</w:t>
            </w:r>
          </w:p>
        </w:tc>
      </w:tr>
    </w:tbl>
    <w:p>
      <w:pPr>
        <w:autoSpaceDN w:val="0"/>
        <w:adjustRightInd w:val="0"/>
        <w:snapToGrid w:val="0"/>
        <w:spacing w:line="240" w:lineRule="auto"/>
        <w:ind w:firstLine="0"/>
        <w:rPr>
          <w:rFonts w:ascii="Times New Roman" w:eastAsia="宋体" w:hAnsi="Times New Roman" w:cs="Times New Roman"/>
          <w:b/>
          <w:bCs/>
          <w:color w:val="000000"/>
          <w:kern w:val="2"/>
          <w:sz w:val="21"/>
          <w:szCs w:val="21"/>
        </w:rPr>
      </w:pPr>
      <w:r>
        <w:rPr>
          <w:rFonts w:ascii="Times New Roman" w:eastAsia="宋体" w:hAnsi="Times New Roman" w:cs="宋体" w:hint="eastAsia"/>
          <w:color w:val="000000"/>
          <w:kern w:val="2"/>
          <w:sz w:val="21"/>
          <w:szCs w:val="21"/>
        </w:rPr>
        <w:t>注：包括但不限于上述保养内容。</w:t>
      </w:r>
    </w:p>
    <w:p>
      <w:pPr>
        <w:autoSpaceDN w:val="0"/>
        <w:adjustRightInd w:val="0"/>
        <w:snapToGrid w:val="0"/>
        <w:spacing w:line="240" w:lineRule="auto"/>
        <w:ind w:firstLine="0"/>
        <w:rPr>
          <w:rFonts w:ascii="Times New Roman" w:eastAsia="宋体" w:hAnsi="Times New Roman" w:cs="Times New Roman"/>
          <w:kern w:val="2"/>
          <w:sz w:val="28"/>
          <w:szCs w:val="28"/>
        </w:rPr>
      </w:pPr>
      <w:r>
        <w:rPr>
          <w:rFonts w:ascii="Times New Roman" w:eastAsia="宋体" w:hAnsi="Times New Roman" w:cs="宋体"/>
          <w:b/>
          <w:bCs/>
          <w:kern w:val="2"/>
          <w:sz w:val="21"/>
        </w:rPr>
        <w:br w:type="page"/>
      </w:r>
      <w:r>
        <w:rPr>
          <w:rFonts w:ascii="Times New Roman" w:eastAsia="宋体" w:hAnsi="Times New Roman" w:cs="宋体" w:hint="eastAsia"/>
          <w:b/>
          <w:bCs/>
          <w:kern w:val="2"/>
          <w:sz w:val="28"/>
          <w:szCs w:val="28"/>
        </w:rPr>
        <w:t>附件</w:t>
      </w:r>
      <w:r>
        <w:rPr>
          <w:rFonts w:ascii="Times New Roman" w:eastAsia="宋体" w:hAnsi="Times New Roman" w:cs="Times New Roman"/>
          <w:b/>
          <w:bCs/>
          <w:kern w:val="2"/>
          <w:sz w:val="28"/>
          <w:szCs w:val="28"/>
        </w:rPr>
        <w:t>7</w:t>
      </w:r>
      <w:r>
        <w:rPr>
          <w:rFonts w:ascii="Times New Roman" w:eastAsia="宋体" w:hAnsi="Times New Roman" w:cs="宋体" w:hint="eastAsia"/>
          <w:b/>
          <w:bCs/>
          <w:kern w:val="2"/>
          <w:sz w:val="28"/>
          <w:szCs w:val="28"/>
        </w:rPr>
        <w:t>《年度保养项目》</w:t>
      </w:r>
    </w:p>
    <w:tbl>
      <w:tblPr>
        <w:tblW w:w="9493" w:type="dxa"/>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704"/>
        <w:gridCol w:w="4961"/>
        <w:gridCol w:w="1888"/>
        <w:gridCol w:w="1209"/>
        <w:gridCol w:w="730"/>
      </w:tblGrid>
      <w:tr>
        <w:tblPrEx>
          <w:tblW w:w="9493" w:type="dxa"/>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cantSplit/>
          <w:trHeight w:val="270"/>
          <w:jc w:val="center"/>
        </w:trPr>
        <w:tc>
          <w:tcPr>
            <w:tcW w:w="704" w:type="dxa"/>
            <w:tcBorders>
              <w:top w:val="single" w:sz="4" w:space="0" w:color="auto"/>
              <w:left w:val="single" w:sz="4" w:space="0" w:color="auto"/>
              <w:bottom w:val="single" w:sz="4" w:space="0" w:color="auto"/>
              <w:right w:val="single" w:sz="4" w:space="0" w:color="auto"/>
            </w:tcBorders>
            <w:shd w:val="clear" w:color="auto" w:fill="BFBFBF"/>
            <w:noWrap/>
            <w:vAlign w:val="center"/>
          </w:tcPr>
          <w:p>
            <w:pPr>
              <w:widowControl/>
              <w:autoSpaceDN w:val="0"/>
              <w:spacing w:line="276" w:lineRule="auto"/>
              <w:ind w:firstLine="0"/>
              <w:jc w:val="center"/>
              <w:rPr>
                <w:rFonts w:ascii="宋体" w:eastAsia="宋体" w:cs="Times New Roman"/>
                <w:b/>
                <w:bCs/>
                <w:kern w:val="2"/>
                <w:sz w:val="21"/>
              </w:rPr>
            </w:pPr>
            <w:r>
              <w:rPr>
                <w:rFonts w:ascii="宋体" w:eastAsia="宋体" w:cs="宋体" w:hint="eastAsia"/>
                <w:b/>
                <w:bCs/>
                <w:kern w:val="2"/>
                <w:sz w:val="21"/>
              </w:rPr>
              <w:t>序号</w:t>
            </w:r>
          </w:p>
        </w:tc>
        <w:tc>
          <w:tcPr>
            <w:tcW w:w="4961" w:type="dxa"/>
            <w:tcBorders>
              <w:top w:val="single" w:sz="4" w:space="0" w:color="auto"/>
              <w:left w:val="nil"/>
              <w:bottom w:val="single" w:sz="4" w:space="0" w:color="auto"/>
              <w:right w:val="single" w:sz="4" w:space="0" w:color="auto"/>
            </w:tcBorders>
            <w:shd w:val="clear" w:color="auto" w:fill="BFBFBF"/>
            <w:noWrap/>
            <w:vAlign w:val="center"/>
          </w:tcPr>
          <w:p>
            <w:pPr>
              <w:widowControl/>
              <w:autoSpaceDN w:val="0"/>
              <w:spacing w:line="276" w:lineRule="auto"/>
              <w:ind w:firstLine="0"/>
              <w:jc w:val="center"/>
              <w:rPr>
                <w:rFonts w:ascii="宋体" w:eastAsia="宋体" w:cs="Times New Roman"/>
                <w:b/>
                <w:bCs/>
                <w:kern w:val="2"/>
                <w:sz w:val="21"/>
              </w:rPr>
            </w:pPr>
            <w:r>
              <w:rPr>
                <w:rFonts w:ascii="宋体" w:eastAsia="宋体" w:cs="宋体" w:hint="eastAsia"/>
                <w:b/>
                <w:bCs/>
                <w:kern w:val="2"/>
                <w:sz w:val="21"/>
              </w:rPr>
              <w:t>保养项目</w:t>
            </w:r>
          </w:p>
        </w:tc>
        <w:tc>
          <w:tcPr>
            <w:tcW w:w="1888" w:type="dxa"/>
            <w:tcBorders>
              <w:top w:val="single" w:sz="4" w:space="0" w:color="auto"/>
              <w:left w:val="nil"/>
              <w:bottom w:val="single" w:sz="4" w:space="0" w:color="auto"/>
              <w:right w:val="single" w:sz="4" w:space="0" w:color="auto"/>
            </w:tcBorders>
            <w:shd w:val="clear" w:color="auto" w:fill="BFBFBF"/>
            <w:noWrap/>
            <w:vAlign w:val="center"/>
          </w:tcPr>
          <w:p>
            <w:pPr>
              <w:widowControl/>
              <w:autoSpaceDN w:val="0"/>
              <w:spacing w:line="276" w:lineRule="auto"/>
              <w:ind w:firstLine="0"/>
              <w:jc w:val="center"/>
              <w:rPr>
                <w:rFonts w:ascii="宋体" w:eastAsia="宋体" w:cs="Times New Roman"/>
                <w:b/>
                <w:bCs/>
                <w:kern w:val="2"/>
                <w:sz w:val="21"/>
              </w:rPr>
            </w:pPr>
            <w:r>
              <w:rPr>
                <w:rFonts w:ascii="宋体" w:eastAsia="宋体" w:cs="宋体" w:hint="eastAsia"/>
                <w:b/>
                <w:bCs/>
                <w:kern w:val="2"/>
                <w:sz w:val="21"/>
              </w:rPr>
              <w:t>项目分类</w:t>
            </w:r>
          </w:p>
        </w:tc>
        <w:tc>
          <w:tcPr>
            <w:tcW w:w="1209" w:type="dxa"/>
            <w:tcBorders>
              <w:top w:val="single" w:sz="4" w:space="0" w:color="auto"/>
              <w:left w:val="nil"/>
              <w:bottom w:val="single" w:sz="4" w:space="0" w:color="auto"/>
              <w:right w:val="single" w:sz="4" w:space="0" w:color="auto"/>
            </w:tcBorders>
            <w:shd w:val="clear" w:color="auto" w:fill="BFBFBF"/>
            <w:noWrap/>
            <w:vAlign w:val="center"/>
          </w:tcPr>
          <w:p>
            <w:pPr>
              <w:widowControl/>
              <w:autoSpaceDN w:val="0"/>
              <w:spacing w:line="276" w:lineRule="auto"/>
              <w:ind w:firstLine="0"/>
              <w:jc w:val="center"/>
              <w:rPr>
                <w:rFonts w:ascii="宋体" w:eastAsia="宋体" w:cs="Times New Roman"/>
                <w:b/>
                <w:bCs/>
                <w:kern w:val="2"/>
                <w:sz w:val="21"/>
              </w:rPr>
            </w:pPr>
            <w:r>
              <w:rPr>
                <w:rFonts w:ascii="宋体" w:eastAsia="宋体" w:cs="宋体" w:hint="eastAsia"/>
                <w:b/>
                <w:bCs/>
                <w:kern w:val="2"/>
                <w:sz w:val="21"/>
              </w:rPr>
              <w:t>完成要求</w:t>
            </w:r>
          </w:p>
        </w:tc>
        <w:tc>
          <w:tcPr>
            <w:tcW w:w="730" w:type="dxa"/>
            <w:tcBorders>
              <w:top w:val="single" w:sz="4" w:space="0" w:color="auto"/>
              <w:left w:val="nil"/>
              <w:bottom w:val="single" w:sz="4" w:space="0" w:color="auto"/>
              <w:right w:val="single" w:sz="4" w:space="0" w:color="auto"/>
            </w:tcBorders>
            <w:shd w:val="clear" w:color="auto" w:fill="BFBFBF"/>
            <w:noWrap/>
            <w:vAlign w:val="center"/>
          </w:tcPr>
          <w:p>
            <w:pPr>
              <w:widowControl/>
              <w:autoSpaceDN w:val="0"/>
              <w:spacing w:line="276" w:lineRule="auto"/>
              <w:ind w:firstLine="0"/>
              <w:jc w:val="center"/>
              <w:rPr>
                <w:rFonts w:ascii="宋体" w:eastAsia="宋体" w:cs="Times New Roman"/>
                <w:b/>
                <w:bCs/>
                <w:kern w:val="2"/>
                <w:sz w:val="21"/>
              </w:rPr>
            </w:pPr>
            <w:r>
              <w:rPr>
                <w:rFonts w:ascii="宋体" w:eastAsia="宋体" w:cs="宋体" w:hint="eastAsia"/>
                <w:b/>
                <w:bCs/>
                <w:kern w:val="2"/>
                <w:sz w:val="21"/>
              </w:rPr>
              <w:t>周期</w:t>
            </w:r>
          </w:p>
        </w:tc>
      </w:tr>
      <w:tr>
        <w:tblPrEx>
          <w:tblW w:w="9493" w:type="dxa"/>
          <w:jc w:val="center"/>
          <w:tblCellMar>
            <w:top w:w="0" w:type="dxa"/>
            <w:left w:w="108" w:type="dxa"/>
            <w:bottom w:w="0" w:type="dxa"/>
            <w:right w:w="108" w:type="dxa"/>
          </w:tblCellMar>
        </w:tblPrEx>
        <w:trPr>
          <w:cantSplit/>
          <w:trHeight w:val="34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穿透能力（必要时）</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整体系统</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trHeight w:val="34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2</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反差灵敏度（必要时）</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整体系统</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34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3</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丝分辨率（必要时）</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整体系统</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34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4</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物质识别</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整体系统</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根据配置选做</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34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5</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上机测试主要备件，升降车等主要工具进行保养检查。</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整体系统</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trHeight w:val="51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6</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检查箱号识别系统结构件有无锈蚀、起鼓、裂纹等现象，有计划实施防锈和补漆处理。</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箱号识别</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根据状态选做</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389"/>
          <w:jc w:val="center"/>
        </w:trPr>
        <w:tc>
          <w:tcPr>
            <w:tcW w:w="704"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7</w:t>
            </w:r>
          </w:p>
        </w:tc>
        <w:tc>
          <w:tcPr>
            <w:tcW w:w="496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打开探测器竖臂及横臂，对内部环境进行清理</w:t>
            </w:r>
          </w:p>
        </w:tc>
        <w:tc>
          <w:tcPr>
            <w:tcW w:w="1888"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探测器</w:t>
            </w:r>
          </w:p>
        </w:tc>
        <w:tc>
          <w:tcPr>
            <w:tcW w:w="12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340"/>
          <w:jc w:val="center"/>
        </w:trPr>
        <w:tc>
          <w:tcPr>
            <w:tcW w:w="704"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8</w:t>
            </w:r>
          </w:p>
        </w:tc>
        <w:tc>
          <w:tcPr>
            <w:tcW w:w="4961" w:type="dxa"/>
            <w:tcBorders>
              <w:top w:val="single" w:sz="4" w:space="0" w:color="auto"/>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检查探测器直流电源和相关电源线、保护接地情况</w:t>
            </w:r>
          </w:p>
        </w:tc>
        <w:tc>
          <w:tcPr>
            <w:tcW w:w="1888" w:type="dxa"/>
            <w:tcBorders>
              <w:top w:val="single" w:sz="4" w:space="0" w:color="auto"/>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探测器</w:t>
            </w:r>
          </w:p>
        </w:tc>
        <w:tc>
          <w:tcPr>
            <w:tcW w:w="1209" w:type="dxa"/>
            <w:tcBorders>
              <w:top w:val="single" w:sz="4" w:space="0" w:color="auto"/>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single" w:sz="4" w:space="0" w:color="auto"/>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34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9</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射线装置前后准直器对准检查</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根据状态选做</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340"/>
          <w:jc w:val="center"/>
        </w:trPr>
        <w:tc>
          <w:tcPr>
            <w:tcW w:w="704"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10</w:t>
            </w:r>
          </w:p>
        </w:tc>
        <w:tc>
          <w:tcPr>
            <w:tcW w:w="496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检查轨道平面度、直线度、轨距</w:t>
            </w:r>
          </w:p>
        </w:tc>
        <w:tc>
          <w:tcPr>
            <w:tcW w:w="1888"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2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根据状态选做</w:t>
            </w:r>
          </w:p>
        </w:tc>
        <w:tc>
          <w:tcPr>
            <w:tcW w:w="73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340"/>
          <w:jc w:val="center"/>
        </w:trPr>
        <w:tc>
          <w:tcPr>
            <w:tcW w:w="704"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11</w:t>
            </w:r>
          </w:p>
        </w:tc>
        <w:tc>
          <w:tcPr>
            <w:tcW w:w="4961" w:type="dxa"/>
            <w:tcBorders>
              <w:top w:val="single" w:sz="4" w:space="0" w:color="auto"/>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紧固铁轨固定螺栓检查轨道部件有无生锈现象，如有必要及时处理。</w:t>
            </w:r>
          </w:p>
        </w:tc>
        <w:tc>
          <w:tcPr>
            <w:tcW w:w="1888" w:type="dxa"/>
            <w:tcBorders>
              <w:top w:val="single" w:sz="4" w:space="0" w:color="auto"/>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扫描装置-机械装置</w:t>
            </w:r>
          </w:p>
        </w:tc>
        <w:tc>
          <w:tcPr>
            <w:tcW w:w="1209" w:type="dxa"/>
            <w:tcBorders>
              <w:top w:val="single" w:sz="4" w:space="0" w:color="auto"/>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single" w:sz="4" w:space="0" w:color="auto"/>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34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12</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检查三相绝缘电阻是否大于1MΩ</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扫描/传送控制-配电系统</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34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13</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测量设备外壳和等电位接地电阻值（接地连续性测试），要求不大于 0.1Ω</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扫描/传送控制-配电系统</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trHeight w:val="34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14</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清理各电气柜上的轴流风机防尘罩的污垢，噪音大、磨损严重、绝缘差的需要更换。检查驱动电机散热风扇工作是否正常</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51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15</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 xml:space="preserve">检查控制柜PLC、稳压电源、直流24V电源工作是否正常 </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2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16</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根据变频电机使用说明书对变频电机系统（包括减速箱）进行保养</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2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17</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检查电气设备工作情况和环境情况</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2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18</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检查运转机构，查看变频器参数，做相关备份</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trHeight w:val="2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19</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测试扫描车扫描速度</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扫描/传送控制-控制系统</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2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20</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检查加速器系统的接地保护，保证所有接地保护线接触良好、无锈蚀，检查系统各接地点相互连通，且各点接地保护电阻不大于0.1Ω</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51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21</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测试加速器输入地线是否零电压</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trHeight w:val="340"/>
          <w:jc w:val="center"/>
        </w:trPr>
        <w:tc>
          <w:tcPr>
            <w:tcW w:w="704" w:type="dxa"/>
            <w:tcBorders>
              <w:top w:val="nil"/>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23</w:t>
            </w:r>
          </w:p>
        </w:tc>
        <w:tc>
          <w:tcPr>
            <w:tcW w:w="4961"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加速器高压舱清洁</w:t>
            </w:r>
          </w:p>
        </w:tc>
        <w:tc>
          <w:tcPr>
            <w:tcW w:w="1888" w:type="dxa"/>
            <w:tcBorders>
              <w:top w:val="nil"/>
              <w:left w:val="nil"/>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9"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nil"/>
              <w:left w:val="nil"/>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trHeight w:val="340"/>
          <w:jc w:val="center"/>
        </w:trPr>
        <w:tc>
          <w:tcPr>
            <w:tcW w:w="704"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24</w:t>
            </w:r>
          </w:p>
        </w:tc>
        <w:tc>
          <w:tcPr>
            <w:tcW w:w="496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射线管更换、源导管更换</w:t>
            </w:r>
          </w:p>
        </w:tc>
        <w:tc>
          <w:tcPr>
            <w:tcW w:w="1888"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根据状态选做</w:t>
            </w:r>
          </w:p>
        </w:tc>
        <w:tc>
          <w:tcPr>
            <w:tcW w:w="730" w:type="dxa"/>
            <w:tcBorders>
              <w:top w:val="single" w:sz="4" w:space="0" w:color="auto"/>
              <w:left w:val="single" w:sz="4" w:space="0" w:color="auto"/>
              <w:bottom w:val="single" w:sz="4" w:space="0" w:color="auto"/>
              <w:right w:val="single" w:sz="4" w:space="0" w:color="auto"/>
            </w:tcBorders>
            <w:noWrap/>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trHeight w:val="340"/>
          <w:jc w:val="center"/>
        </w:trPr>
        <w:tc>
          <w:tcPr>
            <w:tcW w:w="704"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25</w:t>
            </w:r>
          </w:p>
        </w:tc>
        <w:tc>
          <w:tcPr>
            <w:tcW w:w="496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源导管检查（有无烧焦、裂口现象）</w:t>
            </w:r>
          </w:p>
        </w:tc>
        <w:tc>
          <w:tcPr>
            <w:tcW w:w="1888"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必须</w:t>
            </w:r>
          </w:p>
        </w:tc>
        <w:tc>
          <w:tcPr>
            <w:tcW w:w="730" w:type="dxa"/>
            <w:tcBorders>
              <w:top w:val="single" w:sz="4" w:space="0" w:color="auto"/>
              <w:left w:val="single" w:sz="4" w:space="0" w:color="auto"/>
              <w:bottom w:val="single" w:sz="4" w:space="0" w:color="auto"/>
              <w:right w:val="single" w:sz="4" w:space="0" w:color="auto"/>
            </w:tcBorders>
            <w:noWrap/>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trHeight w:val="340"/>
          <w:jc w:val="center"/>
        </w:trPr>
        <w:tc>
          <w:tcPr>
            <w:tcW w:w="704"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26</w:t>
            </w:r>
          </w:p>
        </w:tc>
        <w:tc>
          <w:tcPr>
            <w:tcW w:w="496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摇源缆清洁加油</w:t>
            </w:r>
          </w:p>
        </w:tc>
        <w:tc>
          <w:tcPr>
            <w:tcW w:w="1888"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根据状态选做</w:t>
            </w:r>
          </w:p>
        </w:tc>
        <w:tc>
          <w:tcPr>
            <w:tcW w:w="730" w:type="dxa"/>
            <w:tcBorders>
              <w:top w:val="single" w:sz="4" w:space="0" w:color="auto"/>
              <w:left w:val="single" w:sz="4" w:space="0" w:color="auto"/>
              <w:bottom w:val="single" w:sz="4" w:space="0" w:color="auto"/>
              <w:right w:val="single" w:sz="4" w:space="0" w:color="auto"/>
            </w:tcBorders>
            <w:noWrap/>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trHeight w:val="340"/>
          <w:jc w:val="center"/>
        </w:trPr>
        <w:tc>
          <w:tcPr>
            <w:tcW w:w="704"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27</w:t>
            </w:r>
          </w:p>
        </w:tc>
        <w:tc>
          <w:tcPr>
            <w:tcW w:w="496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更换X光机油冷系统冷却油</w:t>
            </w:r>
          </w:p>
        </w:tc>
        <w:tc>
          <w:tcPr>
            <w:tcW w:w="1888"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射线源</w:t>
            </w:r>
          </w:p>
        </w:tc>
        <w:tc>
          <w:tcPr>
            <w:tcW w:w="12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根据状态选做</w:t>
            </w:r>
          </w:p>
        </w:tc>
        <w:tc>
          <w:tcPr>
            <w:tcW w:w="730" w:type="dxa"/>
            <w:tcBorders>
              <w:top w:val="single" w:sz="4" w:space="0" w:color="auto"/>
              <w:left w:val="single" w:sz="4" w:space="0" w:color="auto"/>
              <w:bottom w:val="single" w:sz="4" w:space="0" w:color="auto"/>
              <w:right w:val="single" w:sz="4" w:space="0" w:color="auto"/>
            </w:tcBorders>
            <w:noWrap/>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cantSplit/>
          <w:trHeight w:val="340"/>
          <w:jc w:val="center"/>
        </w:trPr>
        <w:tc>
          <w:tcPr>
            <w:tcW w:w="704"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28</w:t>
            </w:r>
          </w:p>
        </w:tc>
        <w:tc>
          <w:tcPr>
            <w:tcW w:w="496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kern w:val="2"/>
                <w:sz w:val="21"/>
                <w:szCs w:val="21"/>
              </w:rPr>
              <w:t>检查LED结构件有无锈蚀、起鼓、裂纹等现象，有计划实施防锈和补漆处理</w:t>
            </w:r>
          </w:p>
        </w:tc>
        <w:tc>
          <w:tcPr>
            <w:tcW w:w="1888"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宋体"/>
                <w:kern w:val="2"/>
                <w:sz w:val="21"/>
                <w:szCs w:val="21"/>
              </w:rPr>
            </w:pPr>
            <w:r>
              <w:rPr>
                <w:rFonts w:ascii="宋体" w:eastAsia="宋体" w:cs="宋体" w:hint="eastAsia"/>
                <w:kern w:val="2"/>
                <w:sz w:val="21"/>
                <w:szCs w:val="21"/>
              </w:rPr>
              <w:t>LED</w:t>
            </w:r>
          </w:p>
        </w:tc>
        <w:tc>
          <w:tcPr>
            <w:tcW w:w="12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根据状态选做</w:t>
            </w:r>
          </w:p>
        </w:tc>
        <w:tc>
          <w:tcPr>
            <w:tcW w:w="73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kern w:val="2"/>
                <w:sz w:val="21"/>
                <w:szCs w:val="21"/>
              </w:rPr>
              <w:t>年</w:t>
            </w:r>
          </w:p>
        </w:tc>
      </w:tr>
      <w:tr>
        <w:tblPrEx>
          <w:tblW w:w="9493" w:type="dxa"/>
          <w:jc w:val="center"/>
          <w:tblCellMar>
            <w:top w:w="0" w:type="dxa"/>
            <w:left w:w="108" w:type="dxa"/>
            <w:bottom w:w="0" w:type="dxa"/>
            <w:right w:w="108" w:type="dxa"/>
          </w:tblCellMar>
        </w:tblPrEx>
        <w:trPr>
          <w:trHeight w:val="340"/>
          <w:jc w:val="center"/>
        </w:trPr>
        <w:tc>
          <w:tcPr>
            <w:tcW w:w="704"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宋体"/>
                <w:kern w:val="2"/>
                <w:sz w:val="21"/>
                <w:szCs w:val="21"/>
              </w:rPr>
            </w:pPr>
            <w:r>
              <w:rPr>
                <w:rFonts w:ascii="宋体" w:eastAsia="宋体" w:cs="宋体" w:hint="eastAsia"/>
                <w:kern w:val="2"/>
                <w:sz w:val="21"/>
                <w:szCs w:val="21"/>
              </w:rPr>
              <w:t>29</w:t>
            </w:r>
          </w:p>
        </w:tc>
        <w:tc>
          <w:tcPr>
            <w:tcW w:w="4961"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color w:val="000000"/>
                <w:kern w:val="2"/>
                <w:sz w:val="21"/>
                <w:szCs w:val="21"/>
              </w:rPr>
              <w:t>地磅、辐射探测设备等配套子系统的维护保养，计量检定（如有）</w:t>
            </w:r>
          </w:p>
        </w:tc>
        <w:tc>
          <w:tcPr>
            <w:tcW w:w="1888"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left"/>
              <w:rPr>
                <w:rFonts w:ascii="宋体" w:eastAsia="宋体" w:cs="Times New Roman"/>
                <w:kern w:val="2"/>
                <w:sz w:val="21"/>
                <w:szCs w:val="21"/>
              </w:rPr>
            </w:pPr>
            <w:r>
              <w:rPr>
                <w:rFonts w:ascii="宋体" w:eastAsia="宋体" w:cs="宋体" w:hint="eastAsia"/>
                <w:color w:val="000000"/>
                <w:kern w:val="2"/>
                <w:sz w:val="21"/>
                <w:szCs w:val="21"/>
              </w:rPr>
              <w:t>配套子系统</w:t>
            </w:r>
          </w:p>
        </w:tc>
        <w:tc>
          <w:tcPr>
            <w:tcW w:w="1209"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color w:val="000000"/>
                <w:kern w:val="2"/>
                <w:sz w:val="21"/>
                <w:szCs w:val="21"/>
              </w:rPr>
              <w:t>必须</w:t>
            </w:r>
          </w:p>
        </w:tc>
        <w:tc>
          <w:tcPr>
            <w:tcW w:w="730" w:type="dxa"/>
            <w:tcBorders>
              <w:top w:val="single" w:sz="4" w:space="0" w:color="auto"/>
              <w:left w:val="single" w:sz="4" w:space="0" w:color="auto"/>
              <w:bottom w:val="single" w:sz="4" w:space="0" w:color="auto"/>
              <w:right w:val="single" w:sz="4" w:space="0" w:color="auto"/>
            </w:tcBorders>
            <w:noWrap/>
            <w:vAlign w:val="center"/>
          </w:tcPr>
          <w:p>
            <w:pPr>
              <w:widowControl/>
              <w:autoSpaceDN w:val="0"/>
              <w:spacing w:line="276" w:lineRule="auto"/>
              <w:ind w:firstLine="0"/>
              <w:jc w:val="center"/>
              <w:rPr>
                <w:rFonts w:ascii="宋体" w:eastAsia="宋体" w:cs="Times New Roman"/>
                <w:kern w:val="2"/>
                <w:sz w:val="21"/>
                <w:szCs w:val="21"/>
              </w:rPr>
            </w:pPr>
            <w:r>
              <w:rPr>
                <w:rFonts w:ascii="宋体" w:eastAsia="宋体" w:cs="宋体" w:hint="eastAsia"/>
                <w:color w:val="000000"/>
                <w:kern w:val="2"/>
                <w:sz w:val="21"/>
                <w:szCs w:val="21"/>
              </w:rPr>
              <w:t>年</w:t>
            </w:r>
          </w:p>
        </w:tc>
      </w:tr>
    </w:tbl>
    <w:p>
      <w:pPr>
        <w:autoSpaceDN w:val="0"/>
        <w:adjustRightInd w:val="0"/>
        <w:snapToGrid w:val="0"/>
        <w:spacing w:line="240" w:lineRule="auto"/>
        <w:ind w:firstLine="0"/>
        <w:rPr>
          <w:rFonts w:ascii="Times New Roman" w:eastAsia="宋体" w:hAnsi="Times New Roman" w:cs="Times New Roman"/>
          <w:b/>
          <w:bCs/>
          <w:color w:val="000000"/>
          <w:kern w:val="2"/>
          <w:sz w:val="21"/>
          <w:szCs w:val="21"/>
        </w:rPr>
      </w:pPr>
      <w:r>
        <w:rPr>
          <w:rFonts w:ascii="Times New Roman" w:eastAsia="宋体" w:hAnsi="Times New Roman" w:cs="宋体" w:hint="eastAsia"/>
          <w:color w:val="000000"/>
          <w:kern w:val="2"/>
          <w:sz w:val="21"/>
          <w:szCs w:val="21"/>
        </w:rPr>
        <w:t>注：包括但不限于上述保养内容。</w:t>
      </w:r>
    </w:p>
    <w:p>
      <w:pPr>
        <w:autoSpaceDN w:val="0"/>
        <w:adjustRightInd w:val="0"/>
        <w:snapToGrid w:val="0"/>
        <w:spacing w:line="240" w:lineRule="auto"/>
        <w:ind w:firstLine="0"/>
        <w:rPr>
          <w:rFonts w:ascii="Times New Roman" w:eastAsia="宋体" w:hAnsi="Times New Roman" w:cs="宋体"/>
          <w:b/>
          <w:bCs/>
          <w:kern w:val="2"/>
          <w:sz w:val="21"/>
        </w:rPr>
      </w:pPr>
    </w:p>
    <w:p>
      <w:pPr>
        <w:autoSpaceDN w:val="0"/>
        <w:spacing w:line="240" w:lineRule="auto"/>
        <w:ind w:firstLine="0"/>
        <w:rPr>
          <w:rFonts w:ascii="Times New Roman" w:eastAsia="宋体" w:hAnsi="Times New Roman" w:cs="Times New Roman"/>
          <w:b/>
          <w:bCs/>
          <w:kern w:val="2"/>
          <w:sz w:val="28"/>
          <w:szCs w:val="28"/>
        </w:rPr>
      </w:pPr>
      <w:r>
        <w:rPr>
          <w:rFonts w:ascii="Times New Roman" w:eastAsia="宋体" w:hAnsi="Times New Roman" w:cs="宋体"/>
          <w:b/>
          <w:bCs/>
          <w:kern w:val="2"/>
          <w:sz w:val="21"/>
        </w:rPr>
        <w:br w:type="page"/>
      </w:r>
      <w:r>
        <w:rPr>
          <w:rFonts w:ascii="Times New Roman" w:eastAsia="宋体" w:hAnsi="Times New Roman" w:cs="宋体" w:hint="eastAsia"/>
          <w:b/>
          <w:bCs/>
          <w:kern w:val="2"/>
          <w:sz w:val="28"/>
          <w:szCs w:val="28"/>
        </w:rPr>
        <w:t>附件</w:t>
      </w:r>
      <w:r>
        <w:rPr>
          <w:rFonts w:ascii="Times New Roman" w:eastAsia="宋体" w:hAnsi="Times New Roman" w:cs="Times New Roman"/>
          <w:b/>
          <w:bCs/>
          <w:kern w:val="2"/>
          <w:sz w:val="28"/>
          <w:szCs w:val="28"/>
        </w:rPr>
        <w:t>8</w:t>
      </w:r>
      <w:r>
        <w:rPr>
          <w:rFonts w:ascii="Times New Roman" w:eastAsia="宋体" w:hAnsi="Times New Roman" w:cs="宋体" w:hint="eastAsia"/>
          <w:b/>
          <w:bCs/>
          <w:kern w:val="2"/>
          <w:sz w:val="28"/>
          <w:szCs w:val="28"/>
        </w:rPr>
        <w:t>《</w:t>
      </w:r>
      <w:r>
        <w:rPr>
          <w:rFonts w:ascii="Times New Roman" w:eastAsia="宋体" w:hAnsi="Times New Roman" w:cs="宋体" w:hint="eastAsia"/>
          <w:b/>
          <w:bCs/>
          <w:color w:val="000000"/>
          <w:kern w:val="2"/>
          <w:sz w:val="28"/>
          <w:szCs w:val="28"/>
        </w:rPr>
        <w:t>常规备件及易损件清单</w:t>
      </w:r>
      <w:r>
        <w:rPr>
          <w:rFonts w:ascii="Times New Roman" w:eastAsia="宋体" w:hAnsi="Times New Roman" w:cs="宋体" w:hint="eastAsia"/>
          <w:b/>
          <w:bCs/>
          <w:kern w:val="2"/>
          <w:sz w:val="28"/>
          <w:szCs w:val="28"/>
        </w:rPr>
        <w:t>》</w:t>
      </w:r>
    </w:p>
    <w:tbl>
      <w:tblPr>
        <w:tblW w:w="784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735"/>
        <w:gridCol w:w="2754"/>
        <w:gridCol w:w="1276"/>
        <w:gridCol w:w="992"/>
        <w:gridCol w:w="867"/>
        <w:gridCol w:w="1220"/>
      </w:tblGrid>
      <w:tr>
        <w:tblPrEx>
          <w:tblW w:w="784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40"/>
          <w:jc w:val="center"/>
        </w:trPr>
        <w:tc>
          <w:tcPr>
            <w:tcW w:w="735" w:type="dxa"/>
            <w:tcBorders>
              <w:top w:val="single" w:sz="4" w:space="0" w:color="auto"/>
              <w:left w:val="single" w:sz="4" w:space="0" w:color="auto"/>
              <w:bottom w:val="single" w:sz="4" w:space="0" w:color="auto"/>
              <w:right w:val="single" w:sz="4" w:space="0" w:color="auto"/>
            </w:tcBorders>
            <w:shd w:val="clear" w:color="auto" w:fill="A6A6A6"/>
            <w:noWrap/>
            <w:vAlign w:val="center"/>
          </w:tcPr>
          <w:p>
            <w:pPr>
              <w:widowControl/>
              <w:autoSpaceDN w:val="0"/>
              <w:adjustRightInd w:val="0"/>
              <w:snapToGrid w:val="0"/>
              <w:spacing w:line="240" w:lineRule="auto"/>
              <w:ind w:firstLine="0"/>
              <w:jc w:val="center"/>
              <w:rPr>
                <w:rFonts w:ascii="宋体" w:eastAsia="宋体" w:cs="Times New Roman"/>
                <w:b/>
                <w:bCs/>
                <w:kern w:val="2"/>
                <w:sz w:val="22"/>
                <w:szCs w:val="22"/>
              </w:rPr>
            </w:pPr>
            <w:r>
              <w:rPr>
                <w:rFonts w:ascii="宋体" w:eastAsia="宋体" w:cs="宋体" w:hint="eastAsia"/>
                <w:b/>
                <w:bCs/>
                <w:kern w:val="2"/>
                <w:sz w:val="22"/>
                <w:szCs w:val="22"/>
              </w:rPr>
              <w:t>序号</w:t>
            </w:r>
          </w:p>
        </w:tc>
        <w:tc>
          <w:tcPr>
            <w:tcW w:w="2754" w:type="dxa"/>
            <w:tcBorders>
              <w:top w:val="single" w:sz="4" w:space="0" w:color="auto"/>
              <w:left w:val="nil"/>
              <w:bottom w:val="single" w:sz="4" w:space="0" w:color="auto"/>
              <w:right w:val="single" w:sz="4" w:space="0" w:color="auto"/>
            </w:tcBorders>
            <w:shd w:val="clear" w:color="auto" w:fill="A6A6A6"/>
            <w:noWrap/>
            <w:vAlign w:val="center"/>
          </w:tcPr>
          <w:p>
            <w:pPr>
              <w:widowControl/>
              <w:autoSpaceDN w:val="0"/>
              <w:adjustRightInd w:val="0"/>
              <w:snapToGrid w:val="0"/>
              <w:spacing w:line="240" w:lineRule="auto"/>
              <w:ind w:firstLine="0"/>
              <w:jc w:val="center"/>
              <w:rPr>
                <w:rFonts w:ascii="宋体" w:eastAsia="宋体" w:cs="Times New Roman"/>
                <w:b/>
                <w:bCs/>
                <w:kern w:val="2"/>
                <w:sz w:val="22"/>
                <w:szCs w:val="22"/>
              </w:rPr>
            </w:pPr>
            <w:r>
              <w:rPr>
                <w:rFonts w:ascii="宋体" w:eastAsia="宋体" w:cs="宋体" w:hint="eastAsia"/>
                <w:b/>
                <w:bCs/>
                <w:kern w:val="2"/>
                <w:sz w:val="22"/>
                <w:szCs w:val="22"/>
              </w:rPr>
              <w:t>备件名称</w:t>
            </w:r>
          </w:p>
        </w:tc>
        <w:tc>
          <w:tcPr>
            <w:tcW w:w="1276" w:type="dxa"/>
            <w:tcBorders>
              <w:top w:val="single" w:sz="4" w:space="0" w:color="auto"/>
              <w:left w:val="nil"/>
              <w:bottom w:val="single" w:sz="4" w:space="0" w:color="auto"/>
              <w:right w:val="single" w:sz="4" w:space="0" w:color="auto"/>
            </w:tcBorders>
            <w:shd w:val="clear" w:color="auto" w:fill="A6A6A6"/>
            <w:noWrap/>
            <w:vAlign w:val="center"/>
          </w:tcPr>
          <w:p>
            <w:pPr>
              <w:widowControl/>
              <w:autoSpaceDN w:val="0"/>
              <w:adjustRightInd w:val="0"/>
              <w:snapToGrid w:val="0"/>
              <w:spacing w:line="240" w:lineRule="auto"/>
              <w:ind w:firstLine="0"/>
              <w:jc w:val="center"/>
              <w:rPr>
                <w:rFonts w:ascii="宋体" w:eastAsia="宋体" w:cs="Times New Roman"/>
                <w:b/>
                <w:bCs/>
                <w:kern w:val="2"/>
                <w:sz w:val="22"/>
                <w:szCs w:val="22"/>
              </w:rPr>
            </w:pPr>
            <w:r>
              <w:rPr>
                <w:rFonts w:ascii="宋体" w:eastAsia="宋体" w:cs="宋体" w:hint="eastAsia"/>
                <w:b/>
                <w:bCs/>
                <w:kern w:val="2"/>
                <w:sz w:val="22"/>
                <w:szCs w:val="22"/>
              </w:rPr>
              <w:t>单位</w:t>
            </w:r>
          </w:p>
        </w:tc>
        <w:tc>
          <w:tcPr>
            <w:tcW w:w="992" w:type="dxa"/>
            <w:tcBorders>
              <w:top w:val="single" w:sz="4" w:space="0" w:color="auto"/>
              <w:left w:val="nil"/>
              <w:bottom w:val="single" w:sz="4" w:space="0" w:color="auto"/>
              <w:right w:val="single" w:sz="4" w:space="0" w:color="auto"/>
            </w:tcBorders>
            <w:shd w:val="clear" w:color="auto" w:fill="A6A6A6"/>
            <w:noWrap/>
            <w:vAlign w:val="center"/>
          </w:tcPr>
          <w:p>
            <w:pPr>
              <w:widowControl/>
              <w:autoSpaceDN w:val="0"/>
              <w:adjustRightInd w:val="0"/>
              <w:snapToGrid w:val="0"/>
              <w:spacing w:line="240" w:lineRule="auto"/>
              <w:ind w:firstLine="0"/>
              <w:jc w:val="center"/>
              <w:rPr>
                <w:rFonts w:ascii="宋体" w:eastAsia="宋体" w:cs="Times New Roman"/>
                <w:b/>
                <w:bCs/>
                <w:kern w:val="2"/>
                <w:sz w:val="22"/>
                <w:szCs w:val="22"/>
              </w:rPr>
            </w:pPr>
            <w:r>
              <w:rPr>
                <w:rFonts w:ascii="宋体" w:eastAsia="宋体" w:cs="宋体" w:hint="eastAsia"/>
                <w:b/>
                <w:bCs/>
                <w:kern w:val="2"/>
                <w:sz w:val="22"/>
                <w:szCs w:val="22"/>
              </w:rPr>
              <w:t>数量</w:t>
            </w:r>
          </w:p>
        </w:tc>
        <w:tc>
          <w:tcPr>
            <w:tcW w:w="867" w:type="dxa"/>
            <w:tcBorders>
              <w:top w:val="single" w:sz="4" w:space="0" w:color="auto"/>
              <w:left w:val="nil"/>
              <w:bottom w:val="single" w:sz="4" w:space="0" w:color="auto"/>
              <w:right w:val="single" w:sz="4" w:space="0" w:color="auto"/>
            </w:tcBorders>
            <w:shd w:val="clear" w:color="auto" w:fill="A6A6A6"/>
            <w:noWrap/>
            <w:vAlign w:val="center"/>
          </w:tcPr>
          <w:p>
            <w:pPr>
              <w:widowControl/>
              <w:autoSpaceDN w:val="0"/>
              <w:adjustRightInd w:val="0"/>
              <w:snapToGrid w:val="0"/>
              <w:spacing w:line="240" w:lineRule="auto"/>
              <w:ind w:firstLine="0"/>
              <w:jc w:val="center"/>
              <w:rPr>
                <w:rFonts w:ascii="宋体" w:eastAsia="宋体" w:cs="Times New Roman"/>
                <w:b/>
                <w:bCs/>
                <w:kern w:val="2"/>
                <w:sz w:val="22"/>
                <w:szCs w:val="22"/>
              </w:rPr>
            </w:pPr>
            <w:r>
              <w:rPr>
                <w:rFonts w:ascii="宋体" w:eastAsia="宋体" w:cs="宋体" w:hint="eastAsia"/>
                <w:b/>
                <w:bCs/>
                <w:kern w:val="2"/>
                <w:sz w:val="22"/>
                <w:szCs w:val="22"/>
              </w:rPr>
              <w:t>类型</w:t>
            </w:r>
          </w:p>
        </w:tc>
        <w:tc>
          <w:tcPr>
            <w:tcW w:w="1220" w:type="dxa"/>
            <w:tcBorders>
              <w:top w:val="single" w:sz="4" w:space="0" w:color="auto"/>
              <w:left w:val="single" w:sz="4" w:space="0" w:color="auto"/>
              <w:bottom w:val="single" w:sz="4" w:space="0" w:color="auto"/>
              <w:right w:val="single" w:sz="4" w:space="0" w:color="auto"/>
            </w:tcBorders>
            <w:shd w:val="clear" w:color="auto" w:fill="A6A6A6"/>
            <w:noWrap/>
            <w:vAlign w:val="center"/>
          </w:tcPr>
          <w:p>
            <w:pPr>
              <w:widowControl/>
              <w:autoSpaceDN w:val="0"/>
              <w:adjustRightInd w:val="0"/>
              <w:snapToGrid w:val="0"/>
              <w:spacing w:line="240" w:lineRule="auto"/>
              <w:ind w:firstLine="0"/>
              <w:jc w:val="center"/>
              <w:rPr>
                <w:rFonts w:ascii="宋体" w:eastAsia="宋体" w:cs="Times New Roman"/>
                <w:b/>
                <w:bCs/>
                <w:kern w:val="2"/>
                <w:sz w:val="22"/>
                <w:szCs w:val="22"/>
              </w:rPr>
            </w:pPr>
            <w:r>
              <w:rPr>
                <w:rFonts w:ascii="宋体" w:eastAsia="宋体" w:cs="宋体" w:hint="eastAsia"/>
                <w:b/>
                <w:bCs/>
                <w:kern w:val="2"/>
                <w:sz w:val="22"/>
                <w:szCs w:val="22"/>
              </w:rPr>
              <w:t>使用设备</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源导管</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根</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钴源</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射线管</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根</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电磁阀</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钴源</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气缸</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钴源</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压力表</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钴源</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6</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气动连接件</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w:t>
            </w:r>
          </w:p>
        </w:tc>
        <w:tc>
          <w:tcPr>
            <w:tcW w:w="867"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钴源</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7</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复位器</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钴源</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8</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探测器</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 xml:space="preserve">个 </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9</w:t>
            </w:r>
          </w:p>
        </w:tc>
        <w:tc>
          <w:tcPr>
            <w:tcW w:w="2754" w:type="dxa"/>
            <w:tcBorders>
              <w:top w:val="nil"/>
              <w:left w:val="nil"/>
              <w:bottom w:val="single" w:sz="4" w:space="0" w:color="auto"/>
              <w:right w:val="single" w:sz="4" w:space="0" w:color="auto"/>
            </w:tcBorders>
            <w:noWrap/>
            <w:vAlign w:val="center"/>
          </w:tcPr>
          <w:p>
            <w:pPr>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蜂鸣器</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 xml:space="preserve">个 </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10</w:t>
            </w:r>
          </w:p>
        </w:tc>
        <w:tc>
          <w:tcPr>
            <w:tcW w:w="2754" w:type="dxa"/>
            <w:tcBorders>
              <w:top w:val="nil"/>
              <w:left w:val="nil"/>
              <w:bottom w:val="single" w:sz="4" w:space="0" w:color="auto"/>
              <w:right w:val="single" w:sz="4" w:space="0" w:color="auto"/>
            </w:tcBorders>
            <w:noWrap/>
            <w:vAlign w:val="center"/>
          </w:tcPr>
          <w:p>
            <w:pPr>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报警灯</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 xml:space="preserve">个 </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11</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声光报警器</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 xml:space="preserve">个 </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12</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轴流风机</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13</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IGBT模块</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14</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可控硅</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15</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PW电源板</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块</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16</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SW电源板</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块</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17</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加速器电源箱</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台</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18</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脉冲箱</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台</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19</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光耦</w:t>
            </w:r>
          </w:p>
        </w:tc>
        <w:tc>
          <w:tcPr>
            <w:tcW w:w="1276"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20</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稳压管</w:t>
            </w:r>
          </w:p>
        </w:tc>
        <w:tc>
          <w:tcPr>
            <w:tcW w:w="1276"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21</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驱动芯片</w:t>
            </w:r>
          </w:p>
        </w:tc>
        <w:tc>
          <w:tcPr>
            <w:tcW w:w="1276"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22</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MOS管</w:t>
            </w:r>
          </w:p>
        </w:tc>
        <w:tc>
          <w:tcPr>
            <w:tcW w:w="1276"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23</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PWM控制芯片</w:t>
            </w:r>
          </w:p>
        </w:tc>
        <w:tc>
          <w:tcPr>
            <w:tcW w:w="1276"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24</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轴流风机</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25</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薄膜电容</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26</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偏转与收缩转线圈</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27</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无尘纸</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盒</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消耗件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X光机</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28</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铝辊传动装置</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根</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定制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X光机</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29</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急停按钮盒</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 xml:space="preserve">个 </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30</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钥匙开关</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 xml:space="preserve">个 </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31</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复位按钮头</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 xml:space="preserve">个 </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32</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指示灯(红 LED AC/DC24V)</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 xml:space="preserve">个 </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易损件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33</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指示灯(绿 LED AC/DC24V)</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易损件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34</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带灯按钮</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易损件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35</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光电传感器发射端</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36</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光电传感器接收端</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加速器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37</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反射型光电传感器</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38</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反射板</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39</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自反射光电传感器</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40</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接触器</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41</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继电器</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42</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继电器底座（2NO、2NC）</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43</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断路器</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single" w:sz="4" w:space="0" w:color="auto"/>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44</w:t>
            </w:r>
          </w:p>
        </w:tc>
        <w:tc>
          <w:tcPr>
            <w:tcW w:w="2754" w:type="dxa"/>
            <w:tcBorders>
              <w:top w:val="single" w:sz="4" w:space="0" w:color="auto"/>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按钮底座</w:t>
            </w:r>
          </w:p>
        </w:tc>
        <w:tc>
          <w:tcPr>
            <w:tcW w:w="1276" w:type="dxa"/>
            <w:tcBorders>
              <w:top w:val="single" w:sz="4" w:space="0" w:color="auto"/>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single" w:sz="4" w:space="0" w:color="auto"/>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single" w:sz="4" w:space="0" w:color="auto"/>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single" w:sz="4" w:space="0" w:color="auto"/>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single" w:sz="4" w:space="0" w:color="auto"/>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45</w:t>
            </w:r>
          </w:p>
        </w:tc>
        <w:tc>
          <w:tcPr>
            <w:tcW w:w="2754" w:type="dxa"/>
            <w:tcBorders>
              <w:top w:val="single" w:sz="4" w:space="0" w:color="auto"/>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固定摄像机</w:t>
            </w:r>
          </w:p>
        </w:tc>
        <w:tc>
          <w:tcPr>
            <w:tcW w:w="1276" w:type="dxa"/>
            <w:tcBorders>
              <w:top w:val="single" w:sz="4" w:space="0" w:color="auto"/>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single" w:sz="4" w:space="0" w:color="auto"/>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single" w:sz="4" w:space="0" w:color="auto"/>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single" w:sz="4" w:space="0" w:color="auto"/>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46</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交换机</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47</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室外球型摄像机</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48</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总线连接器</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49</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紧急开关</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50</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开关电源</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51</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移动硬盘</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52</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显示器</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53</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工作站</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54</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DVD刻录光盘</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盒</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消耗件</w:t>
            </w:r>
          </w:p>
        </w:tc>
        <w:tc>
          <w:tcPr>
            <w:tcW w:w="1220" w:type="dxa"/>
            <w:tcBorders>
              <w:top w:val="nil"/>
              <w:left w:val="single" w:sz="4" w:space="0" w:color="auto"/>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55</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刻录机</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盒</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56</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显卡</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块</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r>
        <w:tblPrEx>
          <w:tblW w:w="7844" w:type="dxa"/>
          <w:jc w:val="center"/>
          <w:tblLayout w:type="fixed"/>
          <w:tblCellMar>
            <w:top w:w="0" w:type="dxa"/>
            <w:left w:w="108" w:type="dxa"/>
            <w:bottom w:w="0" w:type="dxa"/>
            <w:right w:w="108" w:type="dxa"/>
          </w:tblCellMar>
        </w:tblPrEx>
        <w:trPr>
          <w:trHeight w:val="240"/>
          <w:jc w:val="center"/>
        </w:trPr>
        <w:tc>
          <w:tcPr>
            <w:tcW w:w="735" w:type="dxa"/>
            <w:tcBorders>
              <w:top w:val="nil"/>
              <w:left w:val="single" w:sz="4" w:space="0" w:color="auto"/>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57</w:t>
            </w:r>
          </w:p>
        </w:tc>
        <w:tc>
          <w:tcPr>
            <w:tcW w:w="2754"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光端机</w:t>
            </w:r>
          </w:p>
        </w:tc>
        <w:tc>
          <w:tcPr>
            <w:tcW w:w="1276"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个</w:t>
            </w:r>
          </w:p>
        </w:tc>
        <w:tc>
          <w:tcPr>
            <w:tcW w:w="992" w:type="dxa"/>
            <w:tcBorders>
              <w:top w:val="nil"/>
              <w:left w:val="nil"/>
              <w:bottom w:val="single" w:sz="4" w:space="0" w:color="auto"/>
              <w:right w:val="single" w:sz="4" w:space="0" w:color="auto"/>
            </w:tcBorders>
            <w:noWrap/>
            <w:vAlign w:val="center"/>
          </w:tcPr>
          <w:p>
            <w:pPr>
              <w:widowControl/>
              <w:autoSpaceDN w:val="0"/>
              <w:adjustRightInd w:val="0"/>
              <w:snapToGrid w:val="0"/>
              <w:spacing w:line="240" w:lineRule="auto"/>
              <w:ind w:firstLine="0"/>
              <w:jc w:val="center"/>
              <w:rPr>
                <w:rFonts w:ascii="宋体" w:eastAsia="宋体" w:cs="宋体"/>
                <w:kern w:val="2"/>
                <w:sz w:val="21"/>
                <w:szCs w:val="21"/>
              </w:rPr>
            </w:pPr>
            <w:r>
              <w:rPr>
                <w:rFonts w:ascii="宋体" w:eastAsia="宋体" w:cs="宋体" w:hint="eastAsia"/>
                <w:kern w:val="2"/>
                <w:sz w:val="21"/>
                <w:szCs w:val="21"/>
              </w:rPr>
              <w:t>1</w:t>
            </w:r>
          </w:p>
        </w:tc>
        <w:tc>
          <w:tcPr>
            <w:tcW w:w="867"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备件</w:t>
            </w:r>
          </w:p>
        </w:tc>
        <w:tc>
          <w:tcPr>
            <w:tcW w:w="1220" w:type="dxa"/>
            <w:tcBorders>
              <w:top w:val="nil"/>
              <w:left w:val="nil"/>
              <w:bottom w:val="single" w:sz="4" w:space="0" w:color="auto"/>
              <w:right w:val="single" w:sz="4" w:space="0" w:color="auto"/>
            </w:tcBorders>
            <w:noWrap/>
          </w:tcPr>
          <w:p>
            <w:pPr>
              <w:widowControl/>
              <w:autoSpaceDN w:val="0"/>
              <w:adjustRightInd w:val="0"/>
              <w:snapToGrid w:val="0"/>
              <w:spacing w:line="240" w:lineRule="auto"/>
              <w:ind w:firstLine="0"/>
              <w:jc w:val="center"/>
              <w:rPr>
                <w:rFonts w:ascii="宋体" w:eastAsia="宋体" w:cs="Times New Roman"/>
                <w:kern w:val="2"/>
                <w:sz w:val="21"/>
                <w:szCs w:val="21"/>
              </w:rPr>
            </w:pPr>
            <w:r>
              <w:rPr>
                <w:rFonts w:ascii="宋体" w:eastAsia="宋体" w:cs="宋体" w:hint="eastAsia"/>
                <w:kern w:val="2"/>
                <w:sz w:val="21"/>
                <w:szCs w:val="21"/>
              </w:rPr>
              <w:t>全部</w:t>
            </w:r>
          </w:p>
        </w:tc>
      </w:tr>
    </w:tbl>
    <w:p>
      <w:pPr>
        <w:autoSpaceDN w:val="0"/>
        <w:adjustRightInd w:val="0"/>
        <w:snapToGrid w:val="0"/>
        <w:ind w:firstLine="372" w:firstLineChars="177"/>
        <w:rPr>
          <w:rFonts w:ascii="Times New Roman" w:eastAsia="宋体" w:hAnsi="Times New Roman" w:cs="Times New Roman"/>
          <w:color w:val="000000"/>
          <w:kern w:val="2"/>
        </w:rPr>
      </w:pPr>
      <w:bookmarkStart w:id="32" w:name="采购政策落实_index"/>
      <w:bookmarkStart w:id="33" w:name="指标明细_index_Required_goodsId"/>
      <w:bookmarkEnd w:id="32"/>
      <w:bookmarkEnd w:id="33"/>
    </w:p>
    <w:p>
      <w:pPr>
        <w:rPr>
          <w:color w:val="0000FF"/>
          <w:lang w:val="en-US" w:eastAsia="zh-CN"/>
        </w:rPr>
      </w:pPr>
      <w:bookmarkEnd w:id="30"/>
    </w:p>
    <w:p>
      <w:pPr>
        <w:rPr>
          <w:rFonts w:hint="eastAsia"/>
          <w:highlight w:val="white"/>
        </w:rPr>
      </w:pPr>
    </w:p>
    <w:p>
      <w:pPr>
        <w:pStyle w:val="Heading1"/>
      </w:pPr>
      <w:r>
        <w:rPr>
          <w:highlight w:val="white"/>
        </w:rPr>
        <w:br w:type="page"/>
      </w:r>
      <w:bookmarkStart w:id="34"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34"/>
    </w:p>
    <w:p>
      <w:bookmarkStart w:id="35"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481"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1126"/>
        <w:gridCol w:w="6608"/>
        <w:gridCol w:w="1190"/>
      </w:tblGrid>
      <w:tr>
        <w:tblPrEx>
          <w:tblW w:w="5481"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91" w:type="dxa"/>
          </w:tcPr>
          <w:p>
            <w:r>
              <w:t>主客观项</w:t>
            </w:r>
          </w:p>
        </w:tc>
        <w:tc>
          <w:tcPr>
            <w:tcW w:w="1143" w:type="dxa"/>
          </w:tcPr>
          <w:p>
            <w:r>
              <w:t>评审因素</w:t>
            </w:r>
          </w:p>
        </w:tc>
        <w:tc>
          <w:tcPr>
            <w:tcW w:w="6709" w:type="dxa"/>
          </w:tcPr>
          <w:p>
            <w:r>
              <w:t>评分标准说明</w:t>
            </w:r>
          </w:p>
        </w:tc>
        <w:tc>
          <w:tcPr>
            <w:tcW w:w="1208" w:type="dxa"/>
          </w:tcPr>
          <w:p>
            <w:r>
              <w:t>分值范围</w:t>
            </w:r>
          </w:p>
        </w:tc>
      </w:tr>
      <w:tr>
        <w:tblPrEx>
          <w:tblW w:w="5481" w:type="pct"/>
          <w:jc w:val="left"/>
          <w:tblInd w:w="0" w:type="dxa"/>
          <w:tblCellMar>
            <w:top w:w="0" w:type="dxa"/>
            <w:left w:w="108" w:type="dxa"/>
            <w:bottom w:w="0" w:type="dxa"/>
            <w:right w:w="108" w:type="dxa"/>
          </w:tblCellMar>
        </w:tblPrEx>
        <w:trPr>
          <w:jc w:val="left"/>
        </w:trPr>
        <w:tc>
          <w:tcPr>
            <w:tcW w:w="291" w:type="dxa"/>
          </w:tcPr>
          <w:p>
            <w:r>
              <w:t>价格分</w:t>
            </w:r>
          </w:p>
        </w:tc>
        <w:tc>
          <w:tcPr>
            <w:tcW w:w="1143" w:type="dxa"/>
          </w:tcPr>
          <w:p>
            <w:r>
              <w:t>报价得分</w:t>
            </w:r>
          </w:p>
        </w:tc>
        <w:tc>
          <w:tcPr>
            <w:tcW w:w="6709" w:type="dxa"/>
          </w:tcPr>
          <w:p>
            <w:r>
              <w:t>综合评分法中的价格分统一采用低价优先法计算，即满足招标文件要求且投标价格最低的投标报价为评标基准价，其价格分为满分。其他投标人的价格分按照下列公式计算：投标报价得分=(评标基准价／投标报价)×22％×100。</w:t>
            </w:r>
          </w:p>
        </w:tc>
        <w:tc>
          <w:tcPr>
            <w:tcW w:w="1208" w:type="dxa"/>
          </w:tcPr>
          <w:p>
            <w:r>
              <w:t>区间打分(0-22)</w:t>
            </w:r>
          </w:p>
        </w:tc>
      </w:tr>
      <w:tr>
        <w:tblPrEx>
          <w:tblW w:w="5481" w:type="pct"/>
          <w:jc w:val="left"/>
          <w:tblInd w:w="0" w:type="dxa"/>
          <w:tblCellMar>
            <w:top w:w="0" w:type="dxa"/>
            <w:left w:w="108" w:type="dxa"/>
            <w:bottom w:w="0" w:type="dxa"/>
            <w:right w:w="108" w:type="dxa"/>
          </w:tblCellMar>
        </w:tblPrEx>
        <w:trPr>
          <w:jc w:val="left"/>
        </w:trPr>
        <w:tc>
          <w:tcPr>
            <w:tcW w:w="291" w:type="dxa"/>
            <w:vMerge w:val="restart"/>
          </w:tcPr>
          <w:p>
            <w:r>
              <w:t>商务部分</w:t>
            </w:r>
          </w:p>
        </w:tc>
        <w:tc>
          <w:tcPr>
            <w:tcW w:w="1143" w:type="dxa"/>
          </w:tcPr>
          <w:p>
            <w:r>
              <w:t>企业综合实力</w:t>
            </w:r>
          </w:p>
        </w:tc>
        <w:tc>
          <w:tcPr>
            <w:tcW w:w="6709" w:type="dxa"/>
          </w:tcPr>
          <w:p>
            <w:r>
              <w:t xml:space="preserve">1.投标人具有ISO9001质量管理体系认证证书（或同等管理体系认证证书）得0.5分，否则不得分。   </w:t>
            </w:r>
          </w:p>
          <w:p>
            <w:r>
              <w:t xml:space="preserve">2.投标人具有ISO14001环境管理体系认证证书（或同等管理体系认证证书）得0.5分，否则不得分。 </w:t>
            </w:r>
          </w:p>
          <w:p>
            <w:r>
              <w:t xml:space="preserve">3.投标人具有ISO27001信息安全管理体系认证证书（或同等管理体系认证证书）得0.5分，否则不得分。  </w:t>
            </w:r>
          </w:p>
          <w:p>
            <w:r>
              <w:t xml:space="preserve">4.投标人具有OHSAS18001职业健康安全管理体系认证证书（或同等管理体系认证证书）得0.5分，否则不得分。     </w:t>
            </w:r>
          </w:p>
          <w:p/>
          <w:p>
            <w:r>
              <w:t>注：上述证书均需处于有效期内并通过年检（如有），需提供复印件并加盖投标人公章。满足上述条件方为有效。</w:t>
            </w:r>
          </w:p>
        </w:tc>
        <w:tc>
          <w:tcPr>
            <w:tcW w:w="1208" w:type="dxa"/>
          </w:tcPr>
          <w:p>
            <w:r>
              <w:t>勾选打分(0;0.5;1;1.5;2)</w:t>
            </w:r>
          </w:p>
        </w:tc>
      </w:tr>
      <w:tr>
        <w:tblPrEx>
          <w:tblW w:w="5481" w:type="pct"/>
          <w:jc w:val="left"/>
          <w:tblInd w:w="0" w:type="dxa"/>
          <w:tblCellMar>
            <w:top w:w="0" w:type="dxa"/>
            <w:left w:w="108" w:type="dxa"/>
            <w:bottom w:w="0" w:type="dxa"/>
            <w:right w:w="108" w:type="dxa"/>
          </w:tblCellMar>
        </w:tblPrEx>
        <w:trPr>
          <w:jc w:val="left"/>
        </w:trPr>
        <w:tc>
          <w:tcPr>
            <w:tcW w:w="291" w:type="dxa"/>
            <w:vMerge/>
          </w:tcPr>
          <w:p/>
        </w:tc>
        <w:tc>
          <w:tcPr>
            <w:tcW w:w="1143" w:type="dxa"/>
          </w:tcPr>
          <w:p>
            <w:r>
              <w:t>投标文件编制质量、对招标文件的响应程度</w:t>
            </w:r>
          </w:p>
        </w:tc>
        <w:tc>
          <w:tcPr>
            <w:tcW w:w="6709" w:type="dxa"/>
          </w:tcPr>
          <w:p>
            <w:r>
              <w:t xml:space="preserve">电子投标文件的逐项响应、定位和绑定清晰准确得1分；      </w:t>
            </w:r>
          </w:p>
          <w:p>
            <w:r>
              <w:t xml:space="preserve">有一项未响应或定位和绑定模糊、有偏差的得0.5分；     </w:t>
            </w:r>
          </w:p>
          <w:p>
            <w:r>
              <w:t>有两项或两项以上未响应或定位和绑定模糊、有偏差的得0分。</w:t>
            </w:r>
          </w:p>
        </w:tc>
        <w:tc>
          <w:tcPr>
            <w:tcW w:w="1208" w:type="dxa"/>
          </w:tcPr>
          <w:p>
            <w:r>
              <w:t>区间打分(0-1)</w:t>
            </w:r>
          </w:p>
        </w:tc>
      </w:tr>
      <w:tr>
        <w:tblPrEx>
          <w:tblW w:w="5481" w:type="pct"/>
          <w:jc w:val="left"/>
          <w:tblInd w:w="0" w:type="dxa"/>
          <w:tblCellMar>
            <w:top w:w="0" w:type="dxa"/>
            <w:left w:w="108" w:type="dxa"/>
            <w:bottom w:w="0" w:type="dxa"/>
            <w:right w:w="108" w:type="dxa"/>
          </w:tblCellMar>
        </w:tblPrEx>
        <w:trPr>
          <w:jc w:val="left"/>
        </w:trPr>
        <w:tc>
          <w:tcPr>
            <w:tcW w:w="291" w:type="dxa"/>
            <w:vMerge/>
          </w:tcPr>
          <w:p/>
        </w:tc>
        <w:tc>
          <w:tcPr>
            <w:tcW w:w="1143" w:type="dxa"/>
          </w:tcPr>
          <w:p>
            <w:r>
              <w:t>投标人业绩</w:t>
            </w:r>
          </w:p>
        </w:tc>
        <w:tc>
          <w:tcPr>
            <w:tcW w:w="6709" w:type="dxa"/>
          </w:tcPr>
          <w:p>
            <w:r>
              <w:t xml:space="preserve">投标人提供2021年12月1日起至本项目招标公告发布之日止（以合同签订日期为准），与本项目同类服务项目业绩相关材料，每提供一个有效业绩得1分，最多得3分。         </w:t>
            </w:r>
          </w:p>
          <w:p/>
          <w:p>
            <w:r>
              <w:t xml:space="preserve">注：1.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w:t>
            </w:r>
          </w:p>
          <w:p>
            <w:r>
              <w:t xml:space="preserve">2.提供的业绩合同材料复印件须字迹清晰，辨识无误；  </w:t>
            </w:r>
          </w:p>
          <w:p>
            <w:r>
              <w:t>3.不符合上述要求或未按要求提供有效证明文件的业绩在评审时将不予以承认。</w:t>
            </w:r>
          </w:p>
        </w:tc>
        <w:tc>
          <w:tcPr>
            <w:tcW w:w="1208" w:type="dxa"/>
          </w:tcPr>
          <w:p>
            <w:r>
              <w:t>勾选打分(0;1;2;3)</w:t>
            </w:r>
          </w:p>
        </w:tc>
      </w:tr>
      <w:tr>
        <w:tblPrEx>
          <w:tblW w:w="5481" w:type="pct"/>
          <w:jc w:val="left"/>
          <w:tblInd w:w="0" w:type="dxa"/>
          <w:tblCellMar>
            <w:top w:w="0" w:type="dxa"/>
            <w:left w:w="108" w:type="dxa"/>
            <w:bottom w:w="0" w:type="dxa"/>
            <w:right w:w="108" w:type="dxa"/>
          </w:tblCellMar>
        </w:tblPrEx>
        <w:trPr>
          <w:jc w:val="left"/>
        </w:trPr>
        <w:tc>
          <w:tcPr>
            <w:tcW w:w="291" w:type="dxa"/>
            <w:vMerge w:val="restart"/>
          </w:tcPr>
          <w:p>
            <w:r>
              <w:t>技术部分</w:t>
            </w:r>
          </w:p>
        </w:tc>
        <w:tc>
          <w:tcPr>
            <w:tcW w:w="1143" w:type="dxa"/>
          </w:tcPr>
          <w:p>
            <w:r>
              <w:t>技术需求响应程度</w:t>
            </w:r>
          </w:p>
        </w:tc>
        <w:tc>
          <w:tcPr>
            <w:tcW w:w="6709" w:type="dxa"/>
          </w:tcPr>
          <w:p>
            <w:r>
              <w:t xml:space="preserve">完全满足招标文件项目需求书相关要求得57.2分，标注▲重要指标项每有一项不满足扣1.8分，一般指标项每有一项不满足扣1分。                        </w:t>
            </w:r>
          </w:p>
          <w:p/>
          <w:p>
            <w:r>
              <w:t xml:space="preserve">重要指标项共4条，分别为：         </w:t>
            </w:r>
          </w:p>
          <w:p>
            <w:r>
              <w:t xml:space="preserve">六、货物或服务指标要求共2条：第2项2条。  </w:t>
            </w:r>
          </w:p>
          <w:p>
            <w:r>
              <w:t xml:space="preserve">七、服务要求共1条：运维服务总体要求2.2项1条。  </w:t>
            </w:r>
          </w:p>
          <w:p>
            <w:r>
              <w:t xml:space="preserve">八、实施要求共1条：辐射检测服务要求2、▲现场辐射安全检测要求1条。     </w:t>
            </w:r>
          </w:p>
          <w:p/>
          <w:p>
            <w:r>
              <w:t xml:space="preserve">一般指标项共50条： 分别为：          </w:t>
            </w:r>
          </w:p>
          <w:p>
            <w:r>
              <w:t xml:space="preserve">四、项目概述要求3条：第3、4、5项内容各1条。  </w:t>
            </w:r>
          </w:p>
          <w:p>
            <w:r>
              <w:t xml:space="preserve">五、集成需求要求3条：第2项3条。   </w:t>
            </w:r>
          </w:p>
          <w:p>
            <w:r>
              <w:t xml:space="preserve">六、货物或服务指标要求共1条：第3项1条。  </w:t>
            </w:r>
          </w:p>
          <w:p>
            <w:r>
              <w:t xml:space="preserve">七、服务要求共27条：第1项投标人服务标准共18条（1.2-1.5共4条，2.3-2.5共3条，3.1-3.4共4条，4.2-4.3共2条，维修服务要求1条，备件保障服务要求2条，合法合规要求1条，技术资料及文档要求1条。）。 第2项硬件、软件制造商服务标准共3条。第3项人员资格标准共3条。第4项服务网络标准共3条。  </w:t>
            </w:r>
          </w:p>
          <w:p>
            <w:r>
              <w:t>八、实施要求共16条：第1项项目实施过程控制共10条。第4项项目实施进度安排共1条。第6项项目验收安排1条。第7项项目培训安排共3条。第9项交付或实施地点共1条。</w:t>
            </w:r>
          </w:p>
        </w:tc>
        <w:tc>
          <w:tcPr>
            <w:tcW w:w="1208" w:type="dxa"/>
          </w:tcPr>
          <w:p>
            <w:r>
              <w:t>区间打分(0-57.2)</w:t>
            </w:r>
          </w:p>
        </w:tc>
      </w:tr>
      <w:tr>
        <w:tblPrEx>
          <w:tblW w:w="5481" w:type="pct"/>
          <w:jc w:val="left"/>
          <w:tblInd w:w="0" w:type="dxa"/>
          <w:tblCellMar>
            <w:top w:w="0" w:type="dxa"/>
            <w:left w:w="108" w:type="dxa"/>
            <w:bottom w:w="0" w:type="dxa"/>
            <w:right w:w="108" w:type="dxa"/>
          </w:tblCellMar>
        </w:tblPrEx>
        <w:trPr>
          <w:jc w:val="left"/>
        </w:trPr>
        <w:tc>
          <w:tcPr>
            <w:tcW w:w="291" w:type="dxa"/>
            <w:vMerge/>
          </w:tcPr>
          <w:p/>
        </w:tc>
        <w:tc>
          <w:tcPr>
            <w:tcW w:w="1143" w:type="dxa"/>
          </w:tcPr>
          <w:p>
            <w:r>
              <w:t>预防性维护方案</w:t>
            </w:r>
          </w:p>
        </w:tc>
        <w:tc>
          <w:tcPr>
            <w:tcW w:w="6709" w:type="dxa"/>
          </w:tcPr>
          <w:p>
            <w:r>
              <w:t xml:space="preserve">投标人提供以日常巡检、定期保养及相应设备软件升级为基础的预防性维护方案，包括但不限于运维服务团队配置、服务内容、服务响应时间、故障处理、应急措施等内容。    </w:t>
            </w:r>
          </w:p>
          <w:p/>
          <w:p>
            <w:r>
              <w:t xml:space="preserve">预防性维护方案科学周密，内容全面，完全契合项目实际，针对性可行性强，得5分。     </w:t>
            </w:r>
          </w:p>
          <w:p>
            <w:r>
              <w:t xml:space="preserve">预防性维护方案内容完整，可以满足项目需要，针对性可行性较强，但方案内容（两个及以下）中有缺陷（缺陷包括：与事实不符、前后内容不一致、逻辑错误、不符合采购需求、内容有缺失等），得3.4分。              预防性维护方案内容有漏项，未完全包括上述内容要求，或三个及以上内容中存在缺陷，得1.7分。                </w:t>
            </w:r>
          </w:p>
          <w:p>
            <w:r>
              <w:t>未提供预防性维护方案或方案严重脱离项目实际，得0分。</w:t>
            </w:r>
          </w:p>
        </w:tc>
        <w:tc>
          <w:tcPr>
            <w:tcW w:w="1208" w:type="dxa"/>
          </w:tcPr>
          <w:p>
            <w:r>
              <w:t>勾选打分(0;1.7;3.4;5)</w:t>
            </w:r>
          </w:p>
        </w:tc>
      </w:tr>
      <w:tr>
        <w:tblPrEx>
          <w:tblW w:w="5481" w:type="pct"/>
          <w:jc w:val="left"/>
          <w:tblInd w:w="0" w:type="dxa"/>
          <w:tblCellMar>
            <w:top w:w="0" w:type="dxa"/>
            <w:left w:w="108" w:type="dxa"/>
            <w:bottom w:w="0" w:type="dxa"/>
            <w:right w:w="108" w:type="dxa"/>
          </w:tblCellMar>
        </w:tblPrEx>
        <w:trPr>
          <w:jc w:val="left"/>
        </w:trPr>
        <w:tc>
          <w:tcPr>
            <w:tcW w:w="291" w:type="dxa"/>
            <w:vMerge w:val="restart"/>
          </w:tcPr>
          <w:p>
            <w:r>
              <w:t>服务部分</w:t>
            </w:r>
          </w:p>
        </w:tc>
        <w:tc>
          <w:tcPr>
            <w:tcW w:w="1143" w:type="dxa"/>
          </w:tcPr>
          <w:p>
            <w:r>
              <w:t>售后服务体系方案</w:t>
            </w:r>
          </w:p>
        </w:tc>
        <w:tc>
          <w:tcPr>
            <w:tcW w:w="6709" w:type="dxa"/>
          </w:tcPr>
          <w:p>
            <w:r>
              <w:t xml:space="preserve">投标人提供详细售后服务体系方案，包括覆盖本项目各个设备现场的售后服务点后的运维服务网络结构、具备较强运维服务能力的团队及专业规范的运维服务信息管理系统等内容。    </w:t>
            </w:r>
          </w:p>
          <w:p/>
          <w:p>
            <w:r>
              <w:t xml:space="preserve">售后服务体系方案科学周密，内容全面，完全契合项目实际，针对性可行性强，得5分。              </w:t>
            </w:r>
          </w:p>
          <w:p>
            <w:r>
              <w:t xml:space="preserve">售后服务体系方案内容完整，可以满足项目需要，针对性可行性较强，但方案上述内容中有一项有缺陷（缺陷包括：与事实不符、前后内容不一致、逻辑错误、不符合采购需求、内容有缺失等），得3.4分。              售后服务体系方案内容有漏项，未完全包括上述内容要求，或上述内容中有两个以上内容存在缺陷，得1.7分。                  </w:t>
            </w:r>
          </w:p>
          <w:p>
            <w:r>
              <w:t>未提供售后服务体系方案或方案严重脱离项目实际，得0分。</w:t>
            </w:r>
          </w:p>
        </w:tc>
        <w:tc>
          <w:tcPr>
            <w:tcW w:w="1208" w:type="dxa"/>
          </w:tcPr>
          <w:p>
            <w:r>
              <w:t>勾选打分(0;1.7;3.4;5)</w:t>
            </w:r>
          </w:p>
        </w:tc>
      </w:tr>
      <w:tr>
        <w:tblPrEx>
          <w:tblW w:w="5481" w:type="pct"/>
          <w:jc w:val="left"/>
          <w:tblInd w:w="0" w:type="dxa"/>
          <w:tblCellMar>
            <w:top w:w="0" w:type="dxa"/>
            <w:left w:w="108" w:type="dxa"/>
            <w:bottom w:w="0" w:type="dxa"/>
            <w:right w:w="108" w:type="dxa"/>
          </w:tblCellMar>
        </w:tblPrEx>
        <w:trPr>
          <w:jc w:val="left"/>
        </w:trPr>
        <w:tc>
          <w:tcPr>
            <w:tcW w:w="291" w:type="dxa"/>
            <w:vMerge/>
          </w:tcPr>
          <w:p/>
        </w:tc>
        <w:tc>
          <w:tcPr>
            <w:tcW w:w="1143" w:type="dxa"/>
          </w:tcPr>
          <w:p>
            <w:r>
              <w:t>培训方案</w:t>
            </w:r>
          </w:p>
        </w:tc>
        <w:tc>
          <w:tcPr>
            <w:tcW w:w="6709" w:type="dxa"/>
          </w:tcPr>
          <w:p>
            <w:r>
              <w:t xml:space="preserve">投标人提供H986设备现场操作培训方案，包括但不仅限于辐射安全知识、设备操作知识、图像常规分析等内容。    </w:t>
            </w:r>
          </w:p>
          <w:p/>
          <w:p>
            <w:r>
              <w:t xml:space="preserve">培训方案科学周密，内容全面，完全契合项目实际，针对性可行性强，得4.8分。              </w:t>
            </w:r>
          </w:p>
          <w:p>
            <w:r>
              <w:t xml:space="preserve">培训方案内容完整，可以满足项目需要，针对性可行性较强，但方案上述内容中有一项有缺陷（缺陷包括：与事实不符、前后内容不一致、逻辑错误、不符合采购需求、内容有缺失等），得3.2分。             培训方案内容有漏项，未完全包括上述内容要求，或上述内容中有两个以上内容存在缺陷，得1.6分。                  </w:t>
            </w:r>
          </w:p>
          <w:p>
            <w:r>
              <w:t>未提供培训方案或方案严重脱离项目实际，得0分。</w:t>
            </w:r>
          </w:p>
        </w:tc>
        <w:tc>
          <w:tcPr>
            <w:tcW w:w="1208" w:type="dxa"/>
          </w:tcPr>
          <w:p>
            <w:r>
              <w:t>勾选打分(0;1.6;3.2;4.8)</w:t>
            </w:r>
          </w:p>
        </w:tc>
      </w:tr>
    </w:tbl>
    <w:p>
      <w:bookmarkEnd w:id="35"/>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29"/>
        <w:jc w:val="center"/>
        <w:rPr>
          <w:color w:val="000000"/>
          <w:sz w:val="28"/>
          <w:szCs w:val="28"/>
          <w:highlight w:val="white"/>
        </w:rPr>
        <w:sectPr>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36"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36"/>
    </w:p>
    <w:p>
      <w:pPr>
        <w:rPr>
          <w:rFonts w:ascii="宋体"/>
          <w:color w:val="000000"/>
          <w:sz w:val="24"/>
        </w:rPr>
      </w:pPr>
      <w:bookmarkStart w:id="37" w:name="插入_TBWJGS_CONTRACT"/>
      <w:r>
        <w:rPr>
          <w:rFonts w:ascii="宋体" w:hint="eastAsia"/>
          <w:color w:val="000000"/>
          <w:sz w:val="24"/>
        </w:rPr>
        <w:t>甲方（采购人）:</w:t>
      </w:r>
    </w:p>
    <w:p>
      <w:pPr>
        <w:rPr>
          <w:rFonts w:ascii="宋体"/>
          <w:color w:val="000000"/>
          <w:sz w:val="24"/>
        </w:rPr>
      </w:pPr>
      <w:r>
        <w:rPr>
          <w:rFonts w:ascii="宋体" w:hint="eastAsia"/>
          <w:color w:val="000000"/>
          <w:sz w:val="24"/>
        </w:rPr>
        <w:t xml:space="preserve">乙方（供应商）:                                  </w:t>
      </w:r>
    </w:p>
    <w:p>
      <w:pPr>
        <w:ind w:firstLine="480" w:firstLineChars="200"/>
        <w:rPr>
          <w:rFonts w:ascii="宋体"/>
          <w:color w:val="000000"/>
          <w:sz w:val="24"/>
        </w:rPr>
      </w:pPr>
      <w:r>
        <w:rPr>
          <w:rFonts w:ascii="宋体" w:hint="eastAsia"/>
          <w:color w:val="000000"/>
          <w:sz w:val="24"/>
        </w:rPr>
        <w:t>经海关总署授权，海关总署物资装备采购中心作为甲方代表,受海关总署（XX司局）委托签订该项目合同。根据</w:t>
      </w:r>
      <w:r>
        <w:rPr>
          <w:rFonts w:ascii="宋体" w:hint="eastAsia"/>
          <w:snapToGrid w:val="0"/>
          <w:color w:val="000000"/>
          <w:kern w:val="0"/>
          <w:sz w:val="24"/>
        </w:rPr>
        <w:t>《中华人民共和国民法典》、</w:t>
      </w:r>
      <w:r>
        <w:rPr>
          <w:rFonts w:ascii="宋体" w:hint="eastAsia"/>
          <w:color w:val="000000"/>
          <w:sz w:val="24"/>
        </w:rPr>
        <w:t>《中华人民共和国政府采购法》等相关法律规定，甲方对____________采购项目以_____方式进行采购（采购项目编号：________ ），确定乙方为中标人（成交商），现依照招标文件（谈判文件、询价通知书、磋商文件、单一来源采购文件）、投标文件（响应文件）等相关文件的内容，双方达成如下协议：</w:t>
      </w:r>
    </w:p>
    <w:p>
      <w:pPr>
        <w:ind w:firstLine="480" w:firstLineChars="200"/>
        <w:rPr>
          <w:rFonts w:ascii="宋体"/>
          <w:b/>
          <w:bCs/>
          <w:color w:val="000000"/>
          <w:sz w:val="24"/>
        </w:rPr>
      </w:pPr>
      <w:r>
        <w:rPr>
          <w:rFonts w:ascii="宋体" w:hint="eastAsia"/>
          <w:b/>
          <w:bCs/>
          <w:color w:val="000000"/>
          <w:sz w:val="24"/>
        </w:rPr>
        <w:t>第一条 采购清单及报价</w:t>
      </w:r>
    </w:p>
    <w:p>
      <w:pPr>
        <w:ind w:firstLine="480" w:firstLineChars="200"/>
        <w:rPr>
          <w:rFonts w:ascii="宋体"/>
          <w:b/>
          <w:bCs/>
          <w:color w:val="000000"/>
          <w:sz w:val="24"/>
        </w:rPr>
      </w:pPr>
    </w:p>
    <w:p>
      <w:pPr>
        <w:ind w:firstLine="480" w:firstLineChars="200"/>
        <w:rPr>
          <w:rFonts w:ascii="宋体"/>
          <w:b/>
          <w:bCs/>
          <w:color w:val="000000"/>
          <w:sz w:val="24"/>
        </w:rPr>
      </w:pPr>
      <w:r>
        <w:rPr>
          <w:rFonts w:ascii="宋体" w:hint="eastAsia"/>
          <w:b/>
          <w:bCs/>
          <w:color w:val="000000"/>
          <w:sz w:val="24"/>
        </w:rPr>
        <w:t>第二条 合同总价款</w:t>
      </w:r>
    </w:p>
    <w:p>
      <w:pPr>
        <w:ind w:firstLine="480" w:firstLineChars="200"/>
        <w:rPr>
          <w:rFonts w:ascii="宋体" w:eastAsia="宋体"/>
          <w:color w:val="000000"/>
          <w:sz w:val="24"/>
          <w:szCs w:val="24"/>
        </w:rPr>
      </w:pPr>
      <w:r>
        <w:rPr>
          <w:rFonts w:ascii="宋体" w:eastAsia="宋体" w:hint="eastAsia"/>
          <w:color w:val="000000"/>
          <w:sz w:val="24"/>
          <w:szCs w:val="24"/>
        </w:rPr>
        <w:t>本合同总价款（人民币大写） __________元（含税）。除上述款项外，乙方不得向甲方（用户）主张其他任何费用，详见附件分项报价表。</w:t>
      </w:r>
    </w:p>
    <w:p>
      <w:pPr>
        <w:ind w:firstLine="480" w:firstLineChars="200"/>
        <w:rPr>
          <w:rFonts w:ascii="宋体"/>
          <w:b/>
          <w:bCs/>
          <w:color w:val="000000"/>
          <w:sz w:val="24"/>
        </w:rPr>
      </w:pPr>
      <w:r>
        <w:rPr>
          <w:rFonts w:ascii="宋体" w:hint="eastAsia"/>
          <w:b/>
          <w:bCs/>
          <w:color w:val="000000"/>
          <w:sz w:val="24"/>
        </w:rPr>
        <w:t>第三条 付款条件</w:t>
      </w:r>
    </w:p>
    <w:p>
      <w:pPr>
        <w:ind w:firstLine="480" w:firstLineChars="200"/>
        <w:rPr>
          <w:rFonts w:ascii="宋体"/>
          <w:color w:val="000000"/>
          <w:sz w:val="24"/>
        </w:rPr>
      </w:pPr>
      <w:r>
        <w:rPr>
          <w:rFonts w:ascii="宋体" w:hint="eastAsia"/>
          <w:color w:val="000000"/>
          <w:sz w:val="24"/>
        </w:rPr>
        <w:t>（一）本合同以人民币付款。</w:t>
      </w:r>
    </w:p>
    <w:p>
      <w:pPr>
        <w:ind w:firstLine="480" w:firstLineChars="200"/>
        <w:rPr>
          <w:rFonts w:ascii="宋体"/>
          <w:color w:val="000000"/>
          <w:sz w:val="24"/>
        </w:rPr>
      </w:pPr>
      <w:r>
        <w:rPr>
          <w:rFonts w:ascii="宋体" w:hint="eastAsia"/>
          <w:color w:val="000000"/>
          <w:sz w:val="24"/>
        </w:rPr>
        <w:t>（二）付款办法：</w:t>
      </w:r>
    </w:p>
    <w:p>
      <w:pPr>
        <w:ind w:firstLine="480" w:firstLineChars="200"/>
        <w:rPr>
          <w:rFonts w:ascii="宋体"/>
          <w:color w:val="000000"/>
          <w:sz w:val="24"/>
        </w:rPr>
      </w:pPr>
      <w:r>
        <w:rPr>
          <w:rFonts w:ascii="宋体" w:hint="eastAsia"/>
          <w:color w:val="000000"/>
          <w:sz w:val="24"/>
        </w:rPr>
        <w:t>1.乙方向甲方交付履约保证金，并提交下列单据之日起10个工作日内，甲方向乙方支付合同总价____%合同款（</w:t>
      </w:r>
      <w:r>
        <w:rPr>
          <w:rFonts w:ascii="宋体" w:hint="eastAsia"/>
          <w:color w:val="000000"/>
          <w:sz w:val="24"/>
          <w:u w:val="single"/>
        </w:rPr>
        <w:t>金额</w:t>
      </w:r>
      <w:r>
        <w:rPr>
          <w:rFonts w:ascii="宋体" w:hint="eastAsia"/>
          <w:color w:val="000000"/>
          <w:sz w:val="24"/>
        </w:rPr>
        <w:t>）。</w:t>
      </w:r>
    </w:p>
    <w:p>
      <w:pPr>
        <w:ind w:firstLine="480" w:firstLineChars="200"/>
        <w:rPr>
          <w:rFonts w:ascii="宋体"/>
          <w:color w:val="000000"/>
          <w:sz w:val="24"/>
        </w:rPr>
      </w:pPr>
      <w:r>
        <w:rPr>
          <w:rFonts w:ascii="宋体" w:hint="eastAsia"/>
          <w:color w:val="000000"/>
          <w:sz w:val="24"/>
        </w:rPr>
        <w:t>乙方提交单据：合同（正文部分复印件）、中标通知书（或成交通知书）、发票（原件）、履约保证金单据。</w:t>
      </w:r>
    </w:p>
    <w:p>
      <w:pPr>
        <w:ind w:firstLine="480" w:firstLineChars="200"/>
        <w:rPr>
          <w:rFonts w:ascii="宋体"/>
          <w:color w:val="000000"/>
          <w:sz w:val="24"/>
        </w:rPr>
      </w:pPr>
      <w:r>
        <w:rPr>
          <w:rFonts w:ascii="宋体" w:hint="eastAsia"/>
          <w:color w:val="000000"/>
          <w:sz w:val="24"/>
        </w:rPr>
        <w:t>2.乙方完成系统功能开发，具备上线条件，并向甲方提交下列单据之日起10个工作日内，甲方向乙方支付合同总价____%合同款（</w:t>
      </w:r>
      <w:r>
        <w:rPr>
          <w:rFonts w:ascii="宋体" w:hint="eastAsia"/>
          <w:color w:val="000000"/>
          <w:sz w:val="24"/>
          <w:u w:val="single"/>
        </w:rPr>
        <w:t>金额</w:t>
      </w:r>
      <w:r>
        <w:rPr>
          <w:rFonts w:ascii="宋体" w:hint="eastAsia"/>
          <w:color w:val="000000"/>
          <w:sz w:val="24"/>
        </w:rPr>
        <w:t>）。</w:t>
      </w:r>
    </w:p>
    <w:p>
      <w:pPr>
        <w:ind w:firstLine="480" w:firstLineChars="200"/>
        <w:rPr>
          <w:rFonts w:ascii="宋体"/>
          <w:color w:val="000000"/>
          <w:sz w:val="24"/>
        </w:rPr>
      </w:pPr>
      <w:r>
        <w:rPr>
          <w:rFonts w:ascii="宋体" w:hint="eastAsia"/>
          <w:color w:val="000000"/>
          <w:sz w:val="24"/>
        </w:rPr>
        <w:t>乙方提交单据：合同（正文部分复印件）、中标通知书（或成交通知书）、发票（原件）、上线证明（原件）。</w:t>
      </w:r>
    </w:p>
    <w:p>
      <w:pPr>
        <w:ind w:firstLine="480" w:firstLineChars="200"/>
        <w:rPr>
          <w:rFonts w:ascii="宋体"/>
          <w:color w:val="000000"/>
          <w:sz w:val="24"/>
        </w:rPr>
      </w:pPr>
      <w:r>
        <w:rPr>
          <w:rFonts w:ascii="宋体" w:hint="eastAsia"/>
          <w:color w:val="000000"/>
          <w:sz w:val="24"/>
        </w:rPr>
        <w:t>3.乙方完成全部服务内容，经甲方组织的合同验收通过，并向甲方提交下列单据之日起10个工作日内，甲方向乙方支付合同总价____%合同款（金额）。</w:t>
      </w:r>
    </w:p>
    <w:p>
      <w:pPr>
        <w:ind w:firstLine="480" w:firstLineChars="200"/>
        <w:rPr>
          <w:rFonts w:ascii="宋体"/>
          <w:color w:val="000000"/>
          <w:sz w:val="24"/>
        </w:rPr>
      </w:pPr>
      <w:r>
        <w:rPr>
          <w:rFonts w:ascii="宋体" w:hint="eastAsia"/>
          <w:color w:val="000000"/>
          <w:sz w:val="24"/>
        </w:rPr>
        <w:t>乙方提交单据：合同（正文部分复印件）、中标通知书（或成交通知书）、发票（原件）、合同验收合格报告（原件）。</w:t>
      </w:r>
    </w:p>
    <w:p>
      <w:pPr>
        <w:ind w:firstLine="480" w:firstLineChars="200"/>
        <w:rPr>
          <w:rFonts w:ascii="宋体"/>
          <w:color w:val="000000"/>
          <w:sz w:val="24"/>
        </w:rPr>
      </w:pPr>
      <w:r>
        <w:rPr>
          <w:rFonts w:ascii="宋体" w:hint="eastAsia"/>
          <w:color w:val="000000"/>
          <w:sz w:val="24"/>
        </w:rPr>
        <w:t>4.因财政集中支付延误时间不计算在内，乙方提交付款单据延迟、缺失及账户信息错误的，甲方有权相应顺延付款期限，且甲方不承担延误付款责任。</w:t>
      </w:r>
    </w:p>
    <w:p>
      <w:pPr>
        <w:autoSpaceDN w:val="0"/>
        <w:spacing w:line="560" w:lineRule="exact"/>
        <w:ind w:firstLine="480" w:firstLineChars="200"/>
        <w:jc w:val="left"/>
        <w:rPr>
          <w:rFonts w:ascii="宋体" w:cs="微软雅黑"/>
          <w:snapToGrid w:val="0"/>
          <w:kern w:val="0"/>
          <w:sz w:val="24"/>
          <w:szCs w:val="24"/>
        </w:rPr>
      </w:pPr>
      <w:r>
        <w:rPr>
          <w:rFonts w:ascii="宋体" w:cs="微软雅黑" w:hint="eastAsia"/>
          <w:snapToGrid w:val="0"/>
          <w:kern w:val="0"/>
          <w:sz w:val="24"/>
          <w:szCs w:val="24"/>
        </w:rPr>
        <w:t>乙方指定收取款项账户为：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tcBorders>
              <w:top w:val="single" w:sz="4" w:space="0" w:color="auto"/>
              <w:left w:val="single" w:sz="4" w:space="0" w:color="auto"/>
              <w:bottom w:val="single" w:sz="4" w:space="0" w:color="auto"/>
              <w:right w:val="single" w:sz="4" w:space="0" w:color="auto"/>
            </w:tcBorders>
            <w:noWrap/>
            <w:vAlign w:val="center"/>
          </w:tcPr>
          <w:p>
            <w:pPr>
              <w:autoSpaceDN w:val="0"/>
              <w:spacing w:line="560" w:lineRule="exact"/>
              <w:jc w:val="left"/>
              <w:rPr>
                <w:rFonts w:ascii="宋体" w:cs="微软雅黑"/>
                <w:snapToGrid w:val="0"/>
                <w:kern w:val="0"/>
                <w:sz w:val="24"/>
                <w:szCs w:val="24"/>
              </w:rPr>
            </w:pPr>
            <w:r>
              <w:rPr>
                <w:rFonts w:ascii="宋体" w:cs="微软雅黑" w:hint="eastAsia"/>
                <w:snapToGrid w:val="0"/>
                <w:kern w:val="0"/>
                <w:sz w:val="24"/>
                <w:szCs w:val="24"/>
              </w:rPr>
              <w:t>收款单位全称</w:t>
            </w:r>
          </w:p>
        </w:tc>
        <w:tc>
          <w:tcPr>
            <w:tcW w:w="5626" w:type="dxa"/>
            <w:tcBorders>
              <w:top w:val="single" w:sz="4" w:space="0" w:color="auto"/>
              <w:left w:val="single" w:sz="4" w:space="0" w:color="auto"/>
              <w:bottom w:val="single" w:sz="4" w:space="0" w:color="auto"/>
              <w:right w:val="single" w:sz="4" w:space="0" w:color="auto"/>
            </w:tcBorders>
            <w:noWrap/>
            <w:vAlign w:val="center"/>
          </w:tcPr>
          <w:p>
            <w:pPr>
              <w:autoSpaceDN w:val="0"/>
              <w:spacing w:line="560" w:lineRule="exact"/>
              <w:ind w:firstLine="480" w:firstLineChars="200"/>
              <w:jc w:val="left"/>
              <w:rPr>
                <w:rFonts w:ascii="宋体" w:cs="微软雅黑"/>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2229" w:type="dxa"/>
            <w:noWrap/>
            <w:vAlign w:val="center"/>
          </w:tcPr>
          <w:p>
            <w:pPr>
              <w:autoSpaceDN w:val="0"/>
              <w:spacing w:line="560" w:lineRule="exact"/>
              <w:jc w:val="left"/>
              <w:rPr>
                <w:rFonts w:ascii="宋体" w:cs="微软雅黑"/>
                <w:snapToGrid w:val="0"/>
                <w:kern w:val="0"/>
                <w:sz w:val="24"/>
                <w:szCs w:val="24"/>
              </w:rPr>
            </w:pPr>
            <w:r>
              <w:rPr>
                <w:rFonts w:ascii="宋体" w:cs="微软雅黑" w:hint="eastAsia"/>
                <w:snapToGrid w:val="0"/>
                <w:kern w:val="0"/>
                <w:sz w:val="24"/>
                <w:szCs w:val="24"/>
              </w:rPr>
              <w:t>开户银行</w:t>
            </w:r>
          </w:p>
        </w:tc>
        <w:tc>
          <w:tcPr>
            <w:tcW w:w="5626" w:type="dxa"/>
            <w:noWrap/>
            <w:vAlign w:val="center"/>
          </w:tcPr>
          <w:p>
            <w:pPr>
              <w:autoSpaceDN w:val="0"/>
              <w:spacing w:line="560" w:lineRule="exact"/>
              <w:ind w:firstLine="480" w:firstLineChars="200"/>
              <w:jc w:val="left"/>
              <w:rPr>
                <w:rFonts w:ascii="宋体" w:cs="微软雅黑"/>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2229" w:type="dxa"/>
            <w:noWrap/>
            <w:vAlign w:val="center"/>
          </w:tcPr>
          <w:p>
            <w:pPr>
              <w:autoSpaceDN w:val="0"/>
              <w:spacing w:line="560" w:lineRule="exact"/>
              <w:jc w:val="left"/>
              <w:rPr>
                <w:rFonts w:ascii="宋体" w:cs="微软雅黑"/>
                <w:snapToGrid w:val="0"/>
                <w:kern w:val="0"/>
                <w:sz w:val="24"/>
                <w:szCs w:val="24"/>
              </w:rPr>
            </w:pPr>
            <w:r>
              <w:rPr>
                <w:rFonts w:ascii="宋体" w:cs="微软雅黑" w:hint="eastAsia"/>
                <w:snapToGrid w:val="0"/>
                <w:kern w:val="0"/>
                <w:sz w:val="24"/>
                <w:szCs w:val="24"/>
              </w:rPr>
              <w:t>账号</w:t>
            </w:r>
          </w:p>
        </w:tc>
        <w:tc>
          <w:tcPr>
            <w:tcW w:w="5626" w:type="dxa"/>
            <w:noWrap/>
            <w:vAlign w:val="center"/>
          </w:tcPr>
          <w:p>
            <w:pPr>
              <w:autoSpaceDN w:val="0"/>
              <w:spacing w:line="560" w:lineRule="exact"/>
              <w:ind w:firstLine="480" w:firstLineChars="200"/>
              <w:jc w:val="left"/>
              <w:rPr>
                <w:rFonts w:ascii="宋体" w:cs="微软雅黑"/>
                <w:snapToGrid w:val="0"/>
                <w:kern w:val="0"/>
                <w:sz w:val="24"/>
                <w:szCs w:val="24"/>
              </w:rPr>
            </w:pPr>
          </w:p>
        </w:tc>
      </w:tr>
    </w:tbl>
    <w:p>
      <w:pPr>
        <w:ind w:firstLine="480" w:firstLineChars="200"/>
        <w:rPr>
          <w:rFonts w:ascii="宋体"/>
          <w:b/>
          <w:bCs/>
          <w:color w:val="000000"/>
          <w:sz w:val="24"/>
        </w:rPr>
      </w:pPr>
      <w:r>
        <w:rPr>
          <w:rFonts w:ascii="宋体" w:hint="eastAsia"/>
          <w:b/>
          <w:bCs/>
          <w:color w:val="000000"/>
          <w:sz w:val="24"/>
        </w:rPr>
        <w:t>第四条 履约保证金</w:t>
      </w:r>
    </w:p>
    <w:p>
      <w:pPr>
        <w:ind w:firstLine="480" w:firstLineChars="200"/>
        <w:rPr>
          <w:rFonts w:ascii="宋体" w:eastAsia="宋体"/>
          <w:color w:val="000000"/>
          <w:sz w:val="24"/>
          <w:szCs w:val="24"/>
          <w:highlight w:val="yellow"/>
        </w:rPr>
      </w:pPr>
      <w:r>
        <w:rPr>
          <w:rFonts w:ascii="宋体" w:eastAsia="宋体" w:hint="eastAsia"/>
          <w:color w:val="000000"/>
          <w:sz w:val="24"/>
          <w:szCs w:val="24"/>
        </w:rPr>
        <w:t>（一）合同签订之日起</w:t>
      </w:r>
      <w:r>
        <w:rPr>
          <w:rFonts w:ascii="宋体" w:eastAsia="宋体" w:hint="eastAsia"/>
          <w:color w:val="000000"/>
          <w:sz w:val="24"/>
          <w:szCs w:val="24"/>
          <w:u w:val="single"/>
        </w:rPr>
        <w:t>10</w:t>
      </w:r>
      <w:r>
        <w:rPr>
          <w:rFonts w:ascii="宋体" w:eastAsia="宋体" w:hint="eastAsia"/>
          <w:color w:val="000000"/>
          <w:sz w:val="24"/>
          <w:szCs w:val="24"/>
        </w:rPr>
        <w:t>个工作日内，乙方须按合同金额的____%向甲方交纳履约保证金。如果乙方未按照约定时间交付履约保证金的，甲方有权单方面解除合同。</w:t>
      </w:r>
    </w:p>
    <w:p>
      <w:pPr>
        <w:autoSpaceDN w:val="0"/>
        <w:spacing w:line="560" w:lineRule="exact"/>
        <w:ind w:firstLine="480" w:firstLineChars="200"/>
        <w:jc w:val="left"/>
        <w:rPr>
          <w:rFonts w:ascii="宋体" w:cs="微软雅黑"/>
          <w:snapToGrid w:val="0"/>
          <w:kern w:val="0"/>
          <w:sz w:val="24"/>
          <w:szCs w:val="24"/>
        </w:rPr>
      </w:pPr>
      <w:r>
        <w:rPr>
          <w:rFonts w:ascii="宋体" w:cs="微软雅黑" w:hint="eastAsia"/>
          <w:snapToGrid w:val="0"/>
          <w:kern w:val="0"/>
          <w:sz w:val="24"/>
          <w:szCs w:val="24"/>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tcBorders>
              <w:top w:val="single" w:sz="4" w:space="0" w:color="auto"/>
              <w:left w:val="single" w:sz="4" w:space="0" w:color="auto"/>
              <w:bottom w:val="single" w:sz="4" w:space="0" w:color="auto"/>
              <w:right w:val="single" w:sz="4" w:space="0" w:color="auto"/>
            </w:tcBorders>
            <w:noWrap/>
            <w:vAlign w:val="center"/>
          </w:tcPr>
          <w:p>
            <w:pPr>
              <w:autoSpaceDN w:val="0"/>
              <w:spacing w:line="560" w:lineRule="exact"/>
              <w:jc w:val="left"/>
              <w:rPr>
                <w:rFonts w:ascii="宋体" w:cs="微软雅黑"/>
                <w:snapToGrid w:val="0"/>
                <w:kern w:val="0"/>
                <w:sz w:val="24"/>
                <w:szCs w:val="24"/>
              </w:rPr>
            </w:pPr>
            <w:r>
              <w:rPr>
                <w:rFonts w:ascii="宋体" w:cs="微软雅黑" w:hint="eastAsia"/>
                <w:snapToGrid w:val="0"/>
                <w:kern w:val="0"/>
                <w:sz w:val="24"/>
                <w:szCs w:val="24"/>
              </w:rPr>
              <w:t>收款单位全称</w:t>
            </w:r>
          </w:p>
        </w:tc>
        <w:tc>
          <w:tcPr>
            <w:tcW w:w="5469" w:type="dxa"/>
            <w:tcBorders>
              <w:top w:val="single" w:sz="4" w:space="0" w:color="auto"/>
              <w:left w:val="single" w:sz="4" w:space="0" w:color="auto"/>
              <w:bottom w:val="single" w:sz="4" w:space="0" w:color="auto"/>
              <w:right w:val="single" w:sz="4" w:space="0" w:color="auto"/>
            </w:tcBorders>
            <w:noWrap/>
            <w:vAlign w:val="center"/>
          </w:tcPr>
          <w:p>
            <w:pPr>
              <w:autoSpaceDN w:val="0"/>
              <w:spacing w:line="560" w:lineRule="exact"/>
              <w:ind w:firstLine="480" w:firstLineChars="200"/>
              <w:jc w:val="left"/>
              <w:rPr>
                <w:rFonts w:ascii="宋体" w:cs="微软雅黑"/>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2386" w:type="dxa"/>
            <w:noWrap/>
            <w:vAlign w:val="center"/>
          </w:tcPr>
          <w:p>
            <w:pPr>
              <w:autoSpaceDN w:val="0"/>
              <w:spacing w:line="560" w:lineRule="exact"/>
              <w:jc w:val="left"/>
              <w:rPr>
                <w:rFonts w:ascii="宋体" w:cs="微软雅黑"/>
                <w:snapToGrid w:val="0"/>
                <w:kern w:val="0"/>
                <w:sz w:val="24"/>
                <w:szCs w:val="24"/>
              </w:rPr>
            </w:pPr>
            <w:r>
              <w:rPr>
                <w:rFonts w:ascii="宋体" w:cs="微软雅黑" w:hint="eastAsia"/>
                <w:snapToGrid w:val="0"/>
                <w:kern w:val="0"/>
                <w:sz w:val="24"/>
                <w:szCs w:val="24"/>
              </w:rPr>
              <w:t>开户银行</w:t>
            </w:r>
          </w:p>
        </w:tc>
        <w:tc>
          <w:tcPr>
            <w:tcW w:w="5469" w:type="dxa"/>
            <w:noWrap/>
            <w:vAlign w:val="center"/>
          </w:tcPr>
          <w:p>
            <w:pPr>
              <w:autoSpaceDN w:val="0"/>
              <w:spacing w:line="560" w:lineRule="exact"/>
              <w:ind w:firstLine="480" w:firstLineChars="200"/>
              <w:jc w:val="left"/>
              <w:rPr>
                <w:rFonts w:ascii="宋体" w:cs="微软雅黑"/>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2386" w:type="dxa"/>
            <w:noWrap/>
            <w:vAlign w:val="center"/>
          </w:tcPr>
          <w:p>
            <w:pPr>
              <w:autoSpaceDN w:val="0"/>
              <w:spacing w:line="560" w:lineRule="exact"/>
              <w:jc w:val="left"/>
              <w:rPr>
                <w:rFonts w:ascii="宋体" w:cs="微软雅黑"/>
                <w:snapToGrid w:val="0"/>
                <w:kern w:val="0"/>
                <w:sz w:val="24"/>
                <w:szCs w:val="24"/>
              </w:rPr>
            </w:pPr>
            <w:r>
              <w:rPr>
                <w:rFonts w:ascii="宋体" w:cs="微软雅黑" w:hint="eastAsia"/>
                <w:snapToGrid w:val="0"/>
                <w:kern w:val="0"/>
                <w:sz w:val="24"/>
                <w:szCs w:val="24"/>
              </w:rPr>
              <w:t>账号</w:t>
            </w:r>
          </w:p>
        </w:tc>
        <w:tc>
          <w:tcPr>
            <w:tcW w:w="5469" w:type="dxa"/>
            <w:noWrap/>
            <w:vAlign w:val="center"/>
          </w:tcPr>
          <w:p>
            <w:pPr>
              <w:autoSpaceDN w:val="0"/>
              <w:spacing w:line="560" w:lineRule="exact"/>
              <w:ind w:firstLine="480" w:firstLineChars="200"/>
              <w:jc w:val="left"/>
              <w:rPr>
                <w:rFonts w:ascii="宋体" w:cs="微软雅黑"/>
                <w:snapToGrid w:val="0"/>
                <w:kern w:val="0"/>
                <w:sz w:val="24"/>
                <w:szCs w:val="24"/>
              </w:rPr>
            </w:pPr>
          </w:p>
        </w:tc>
      </w:tr>
    </w:tbl>
    <w:p>
      <w:pPr>
        <w:ind w:firstLine="480" w:firstLineChars="200"/>
        <w:rPr>
          <w:rFonts w:ascii="宋体" w:eastAsia="宋体"/>
          <w:color w:val="000000"/>
          <w:sz w:val="24"/>
          <w:szCs w:val="24"/>
        </w:rPr>
      </w:pPr>
      <w:r>
        <w:rPr>
          <w:rFonts w:ascii="宋体" w:eastAsia="宋体" w:hint="eastAsia"/>
          <w:color w:val="000000"/>
          <w:sz w:val="24"/>
          <w:szCs w:val="24"/>
        </w:rPr>
        <w:t>（二）履约保证金以银行保函、银行电汇向甲方提供。</w:t>
      </w:r>
    </w:p>
    <w:p>
      <w:pPr>
        <w:ind w:firstLine="480" w:firstLineChars="200"/>
        <w:rPr>
          <w:rFonts w:ascii="宋体" w:eastAsia="宋体"/>
          <w:color w:val="000000"/>
          <w:sz w:val="24"/>
          <w:szCs w:val="24"/>
        </w:rPr>
      </w:pPr>
      <w:r>
        <w:rPr>
          <w:rFonts w:ascii="宋体" w:eastAsia="宋体" w:hint="eastAsia"/>
          <w:color w:val="000000"/>
          <w:sz w:val="24"/>
          <w:szCs w:val="24"/>
        </w:rPr>
        <w:t>（三）履约保证金有效期：自提交保证金之日起至项目质保期满后30个日历日止（因乙方原因造成延期履约的，履约保证金相应顺延）。</w:t>
      </w:r>
    </w:p>
    <w:p>
      <w:pPr>
        <w:ind w:firstLine="480" w:firstLineChars="200"/>
        <w:rPr>
          <w:rFonts w:ascii="宋体"/>
          <w:color w:val="000000"/>
          <w:sz w:val="24"/>
        </w:rPr>
      </w:pPr>
      <w:r>
        <w:rPr>
          <w:rFonts w:ascii="宋体" w:hint="eastAsia"/>
          <w:color w:val="000000"/>
          <w:sz w:val="24"/>
        </w:rPr>
        <w:t>（四）如乙方未能履行合同规定的义务，甲方有权按照本合同的约定从履约保证金中进行相应扣除。乙方应在甲方扣除履约保证金之日起10个工作日内，及时补充扣除部分金额。</w:t>
      </w:r>
    </w:p>
    <w:p>
      <w:pPr>
        <w:ind w:firstLine="480" w:firstLineChars="200"/>
        <w:rPr>
          <w:rFonts w:ascii="宋体"/>
          <w:color w:val="000000"/>
          <w:sz w:val="24"/>
        </w:rPr>
      </w:pPr>
      <w:r>
        <w:rPr>
          <w:rFonts w:ascii="宋体" w:hint="eastAsia"/>
          <w:color w:val="000000"/>
          <w:sz w:val="24"/>
        </w:rPr>
        <w:t>（五）如乙方不履行合同，或履行合同义务不符合约定使得合同目的不能实现，履约保证金不予退还。</w:t>
      </w:r>
    </w:p>
    <w:p>
      <w:pPr>
        <w:ind w:firstLine="480" w:firstLineChars="200"/>
        <w:rPr>
          <w:rFonts w:ascii="宋体"/>
          <w:color w:val="000000"/>
          <w:sz w:val="24"/>
        </w:rPr>
      </w:pPr>
      <w:r>
        <w:rPr>
          <w:rFonts w:ascii="宋体" w:hint="eastAsia"/>
          <w:color w:val="000000"/>
          <w:sz w:val="24"/>
        </w:rPr>
        <w:t>（六）履约保证金在有效期满后，甲方在收到乙方提交退款申请后10个工作日内无息退还。</w:t>
      </w:r>
    </w:p>
    <w:p>
      <w:pPr>
        <w:ind w:firstLine="480" w:firstLineChars="200"/>
        <w:rPr>
          <w:rFonts w:ascii="宋体"/>
          <w:b/>
          <w:bCs/>
          <w:color w:val="000000"/>
          <w:sz w:val="24"/>
        </w:rPr>
      </w:pPr>
      <w:r>
        <w:rPr>
          <w:rFonts w:ascii="宋体" w:hint="eastAsia"/>
          <w:b/>
          <w:bCs/>
          <w:color w:val="000000"/>
          <w:sz w:val="24"/>
        </w:rPr>
        <w:t>第五条  工作进度要求及履行地点</w:t>
      </w:r>
    </w:p>
    <w:p>
      <w:pPr>
        <w:spacing w:line="480" w:lineRule="atLeast"/>
        <w:ind w:firstLine="480"/>
        <w:jc w:val="left"/>
        <w:rPr>
          <w:rFonts w:ascii="宋体"/>
          <w:color w:val="000000"/>
          <w:sz w:val="24"/>
        </w:rPr>
      </w:pPr>
      <w:r>
        <w:rPr>
          <w:rFonts w:ascii="宋体" w:cs="宋体" w:hint="eastAsia"/>
          <w:color w:val="000000"/>
          <w:sz w:val="24"/>
        </w:rPr>
        <w:t>（一）本技术服务工期</w:t>
      </w:r>
      <w:r>
        <w:rPr>
          <w:rFonts w:ascii="宋体" w:cs="宋体" w:hint="eastAsia"/>
          <w:color w:val="000000"/>
          <w:sz w:val="24"/>
          <w:u w:val="single"/>
        </w:rPr>
        <w:t xml:space="preserve">   </w:t>
      </w:r>
      <w:r>
        <w:rPr>
          <w:rFonts w:ascii="宋体" w:cs="宋体" w:hint="eastAsia"/>
          <w:color w:val="000000"/>
          <w:sz w:val="24"/>
        </w:rPr>
        <w:t>个月，要求合同签订之日起</w:t>
      </w:r>
      <w:r>
        <w:rPr>
          <w:rFonts w:ascii="宋体" w:cs="宋体" w:hint="eastAsia"/>
          <w:color w:val="000000"/>
          <w:sz w:val="24"/>
          <w:u w:val="single"/>
        </w:rPr>
        <w:t xml:space="preserve">    </w:t>
      </w:r>
      <w:r>
        <w:rPr>
          <w:rFonts w:ascii="宋体" w:cs="宋体" w:hint="eastAsia"/>
          <w:color w:val="000000"/>
          <w:sz w:val="24"/>
        </w:rPr>
        <w:t>个月内完成合同约定的所有服务内容（以乙方满足招标文件/谈判文件/询价通知书/磋商文件/单一来源采购文件要求及投标文件/响应文件应答的基础上的承诺为准）。</w:t>
      </w:r>
    </w:p>
    <w:p>
      <w:pPr>
        <w:spacing w:line="480" w:lineRule="atLeast"/>
        <w:ind w:firstLine="480"/>
        <w:rPr>
          <w:rFonts w:ascii="宋体" w:cs="宋体"/>
          <w:color w:val="000000"/>
          <w:sz w:val="24"/>
        </w:rPr>
      </w:pPr>
      <w:r>
        <w:rPr>
          <w:rFonts w:ascii="宋体" w:cs="宋体" w:hint="eastAsia"/>
          <w:color w:val="000000"/>
          <w:sz w:val="24"/>
        </w:rPr>
        <w:t>（二）因甲方（用户）原因造成乙方不能按期完成工作的，经甲方（用户）书面确认后，乙方工期可以顺延，顺延的日期与甲方（用户）造成乙方不能正常工作的日期相等。</w:t>
      </w:r>
    </w:p>
    <w:p>
      <w:pPr>
        <w:spacing w:line="480" w:lineRule="atLeast"/>
        <w:ind w:firstLine="480"/>
        <w:rPr>
          <w:rFonts w:ascii="宋体"/>
          <w:color w:val="000000"/>
          <w:sz w:val="24"/>
        </w:rPr>
      </w:pPr>
      <w:r>
        <w:rPr>
          <w:rFonts w:ascii="宋体" w:cs="宋体" w:hint="eastAsia"/>
          <w:color w:val="000000"/>
          <w:sz w:val="24"/>
        </w:rPr>
        <w:t>（三）履行地点：甲方指定地点。</w:t>
      </w:r>
    </w:p>
    <w:p>
      <w:pPr>
        <w:ind w:firstLine="480" w:firstLineChars="200"/>
        <w:rPr>
          <w:rFonts w:ascii="宋体" w:cs="宋体"/>
          <w:b/>
          <w:bCs/>
          <w:color w:val="000000"/>
          <w:sz w:val="24"/>
          <w:szCs w:val="24"/>
          <w:lang w:eastAsia="zh-CN"/>
        </w:rPr>
      </w:pPr>
      <w:r>
        <w:rPr>
          <w:rFonts w:ascii="宋体" w:cs="宋体" w:hint="eastAsia"/>
          <w:b/>
          <w:bCs/>
          <w:color w:val="000000"/>
          <w:sz w:val="24"/>
          <w:szCs w:val="24"/>
          <w:lang w:eastAsia="zh-CN"/>
        </w:rPr>
        <w:t>第六条 验收</w:t>
      </w:r>
    </w:p>
    <w:p>
      <w:pPr>
        <w:spacing w:line="480" w:lineRule="atLeast"/>
        <w:ind w:firstLine="482" w:firstLineChars="201"/>
        <w:rPr>
          <w:rFonts w:ascii="宋体" w:eastAsia="宋体" w:cs="宋体"/>
          <w:color w:val="000000"/>
          <w:sz w:val="24"/>
          <w:szCs w:val="24"/>
        </w:rPr>
      </w:pPr>
      <w:r>
        <w:rPr>
          <w:rFonts w:ascii="宋体" w:eastAsia="宋体" w:cs="宋体" w:hint="eastAsia"/>
          <w:color w:val="000000"/>
          <w:sz w:val="24"/>
          <w:szCs w:val="24"/>
        </w:rPr>
        <w:t>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ind w:firstLine="480" w:firstLineChars="200"/>
        <w:rPr>
          <w:rFonts w:ascii="宋体"/>
          <w:color w:val="000000"/>
          <w:sz w:val="24"/>
          <w:szCs w:val="24"/>
          <w:lang w:eastAsia="zh-CN"/>
        </w:rPr>
      </w:pPr>
      <w:r>
        <w:rPr>
          <w:rFonts w:ascii="宋体" w:hint="eastAsia"/>
          <w:b/>
          <w:bCs/>
          <w:color w:val="000000"/>
          <w:sz w:val="24"/>
          <w:szCs w:val="24"/>
          <w:lang w:eastAsia="zh-CN"/>
        </w:rPr>
        <w:t>第七条 质量保证</w:t>
      </w:r>
    </w:p>
    <w:p>
      <w:pPr>
        <w:ind w:firstLine="480" w:firstLineChars="200"/>
        <w:rPr>
          <w:rFonts w:ascii="宋体"/>
          <w:color w:val="000000"/>
          <w:sz w:val="24"/>
        </w:rPr>
      </w:pPr>
      <w:r>
        <w:rPr>
          <w:rFonts w:ascii="宋体" w:hint="eastAsia"/>
          <w:color w:val="000000"/>
          <w:sz w:val="24"/>
        </w:rPr>
        <w:t>（一）乙方应保证所开发的产品与投标文件/响应文件承诺一致，并完全符合或高于合同要求的质量、规格和技术性能。</w:t>
      </w:r>
    </w:p>
    <w:p>
      <w:pPr>
        <w:ind w:firstLine="480" w:firstLineChars="200"/>
        <w:rPr>
          <w:rFonts w:ascii="宋体"/>
          <w:color w:val="000000"/>
          <w:sz w:val="24"/>
        </w:rPr>
      </w:pPr>
      <w:r>
        <w:rPr>
          <w:rFonts w:ascii="宋体" w:hint="eastAsia"/>
          <w:color w:val="000000"/>
          <w:sz w:val="24"/>
        </w:rPr>
        <w:t>（二）本合同项目质量保证期为：自双方签署合同验收合格报告之日起计算</w:t>
      </w:r>
      <w:r>
        <w:rPr>
          <w:rFonts w:ascii="宋体" w:hint="eastAsia"/>
          <w:color w:val="000000"/>
          <w:sz w:val="24"/>
          <w:u w:val="single"/>
        </w:rPr>
        <w:t xml:space="preserve">    </w:t>
      </w:r>
      <w:r>
        <w:rPr>
          <w:rFonts w:ascii="宋体" w:hint="eastAsia"/>
          <w:color w:val="000000"/>
          <w:sz w:val="24"/>
        </w:rPr>
        <w:t>年。</w:t>
      </w:r>
    </w:p>
    <w:p>
      <w:pPr>
        <w:ind w:firstLine="480" w:firstLineChars="200"/>
        <w:rPr>
          <w:rFonts w:ascii="宋体"/>
          <w:b/>
          <w:bCs/>
          <w:color w:val="000000"/>
          <w:sz w:val="24"/>
        </w:rPr>
      </w:pPr>
      <w:r>
        <w:rPr>
          <w:rFonts w:ascii="宋体" w:hint="eastAsia"/>
          <w:b/>
          <w:bCs/>
          <w:color w:val="000000"/>
          <w:sz w:val="24"/>
        </w:rPr>
        <w:t>第八条 培训</w:t>
      </w:r>
    </w:p>
    <w:p>
      <w:pPr>
        <w:ind w:firstLine="480" w:firstLineChars="200"/>
        <w:rPr>
          <w:rFonts w:ascii="宋体"/>
          <w:b/>
          <w:bCs/>
          <w:color w:val="000000"/>
          <w:sz w:val="24"/>
        </w:rPr>
      </w:pPr>
      <w:r>
        <w:rPr>
          <w:rFonts w:ascii="宋体" w:hint="eastAsia"/>
          <w:bCs/>
          <w:color w:val="000000"/>
          <w:sz w:val="24"/>
        </w:rPr>
        <w:t>本合同包括培训，具体培训方案详见附件。</w:t>
      </w:r>
    </w:p>
    <w:p>
      <w:pPr>
        <w:ind w:firstLine="480" w:firstLineChars="200"/>
        <w:rPr>
          <w:rFonts w:ascii="宋体"/>
          <w:b/>
          <w:bCs/>
          <w:color w:val="000000"/>
          <w:sz w:val="24"/>
        </w:rPr>
      </w:pPr>
      <w:r>
        <w:rPr>
          <w:rFonts w:ascii="宋体" w:hint="eastAsia"/>
          <w:b/>
          <w:bCs/>
          <w:color w:val="000000"/>
          <w:sz w:val="24"/>
        </w:rPr>
        <w:t>第九条 售后服务</w:t>
      </w:r>
    </w:p>
    <w:p>
      <w:pPr>
        <w:ind w:firstLine="480" w:firstLineChars="200"/>
        <w:rPr>
          <w:rFonts w:ascii="宋体"/>
          <w:color w:val="000000"/>
          <w:sz w:val="24"/>
        </w:rPr>
      </w:pPr>
      <w:r>
        <w:rPr>
          <w:rFonts w:ascii="宋体" w:hint="eastAsia"/>
          <w:color w:val="000000"/>
          <w:sz w:val="24"/>
        </w:rPr>
        <w:t>（一）乙方在质量保证期内免费提供</w:t>
      </w:r>
      <w:r>
        <w:rPr>
          <w:rFonts w:ascii="宋体" w:hint="eastAsia"/>
          <w:color w:val="000000"/>
          <w:sz w:val="24"/>
          <w:u w:val="single"/>
        </w:rPr>
        <w:t>7（5）天</w:t>
      </w:r>
      <w:r>
        <w:rPr>
          <w:rFonts w:ascii="宋体" w:hint="eastAsia"/>
          <w:color w:val="000000"/>
          <w:sz w:val="24"/>
        </w:rPr>
        <w:t>*</w:t>
      </w:r>
      <w:r>
        <w:rPr>
          <w:rFonts w:ascii="宋体" w:hint="eastAsia"/>
          <w:color w:val="000000"/>
          <w:sz w:val="24"/>
          <w:u w:val="single"/>
        </w:rPr>
        <w:t>24（8）</w:t>
      </w:r>
      <w:r>
        <w:rPr>
          <w:rFonts w:ascii="宋体" w:hint="eastAsia"/>
          <w:color w:val="000000"/>
          <w:sz w:val="24"/>
        </w:rPr>
        <w:t>小时的技术支持与售后服务，提供专线电话支持服务，__小时内响应，保证___小时内到达现场并解决故障。</w:t>
      </w:r>
    </w:p>
    <w:p>
      <w:pPr>
        <w:ind w:firstLine="480" w:firstLineChars="200"/>
        <w:rPr>
          <w:rFonts w:ascii="宋体"/>
          <w:color w:val="000000"/>
          <w:sz w:val="24"/>
        </w:rPr>
      </w:pPr>
      <w:r>
        <w:rPr>
          <w:rFonts w:ascii="宋体" w:hint="eastAsia"/>
          <w:color w:val="000000"/>
          <w:sz w:val="24"/>
        </w:rPr>
        <w:t>（二）本合同包含售后服务，具体售后服务方案详见附件。</w:t>
      </w:r>
    </w:p>
    <w:p>
      <w:pPr>
        <w:ind w:firstLine="480" w:firstLineChars="200"/>
        <w:rPr>
          <w:rFonts w:ascii="宋体" w:eastAsia="宋体"/>
          <w:b/>
          <w:bCs/>
          <w:color w:val="000000"/>
          <w:sz w:val="24"/>
          <w:szCs w:val="24"/>
        </w:rPr>
      </w:pPr>
      <w:r>
        <w:rPr>
          <w:rFonts w:ascii="宋体" w:eastAsia="宋体" w:hint="eastAsia"/>
          <w:b/>
          <w:bCs/>
          <w:color w:val="000000"/>
          <w:sz w:val="24"/>
          <w:szCs w:val="24"/>
        </w:rPr>
        <w:t>第十条 双方的权利和义务</w:t>
      </w:r>
    </w:p>
    <w:p>
      <w:pPr>
        <w:spacing w:line="480" w:lineRule="atLeast"/>
        <w:ind w:firstLine="480"/>
        <w:rPr>
          <w:rFonts w:ascii="宋体" w:eastAsia="宋体"/>
          <w:bCs/>
          <w:color w:val="000000"/>
          <w:sz w:val="24"/>
          <w:szCs w:val="24"/>
        </w:rPr>
      </w:pPr>
      <w:r>
        <w:rPr>
          <w:rFonts w:ascii="宋体" w:eastAsia="宋体" w:cs="宋体" w:hint="eastAsia"/>
          <w:color w:val="000000"/>
          <w:sz w:val="24"/>
          <w:szCs w:val="24"/>
        </w:rPr>
        <w:t>一、甲方（用户）的权利与义务</w:t>
      </w:r>
    </w:p>
    <w:p>
      <w:pPr>
        <w:spacing w:line="480" w:lineRule="atLeast"/>
        <w:ind w:firstLine="480"/>
        <w:rPr>
          <w:rFonts w:ascii="宋体" w:eastAsia="宋体"/>
          <w:color w:val="000000"/>
          <w:sz w:val="24"/>
          <w:szCs w:val="24"/>
        </w:rPr>
      </w:pPr>
      <w:r>
        <w:rPr>
          <w:rFonts w:ascii="宋体" w:eastAsia="宋体" w:cs="宋体" w:hint="eastAsia"/>
          <w:color w:val="000000"/>
          <w:sz w:val="24"/>
          <w:szCs w:val="24"/>
        </w:rPr>
        <w:t>（一）甲方（用户）有权了解整个委托技术服务的执行进程，监督服务执行，并对技术服务的进度及质量进行要求和检查。</w:t>
      </w:r>
    </w:p>
    <w:p>
      <w:pPr>
        <w:spacing w:line="480" w:lineRule="atLeast"/>
        <w:ind w:firstLine="480"/>
        <w:rPr>
          <w:rFonts w:ascii="宋体" w:eastAsia="宋体"/>
          <w:color w:val="000000"/>
          <w:sz w:val="24"/>
          <w:szCs w:val="24"/>
        </w:rPr>
      </w:pPr>
      <w:r>
        <w:rPr>
          <w:rFonts w:ascii="宋体" w:eastAsia="宋体" w:cs="宋体" w:hint="eastAsia"/>
          <w:color w:val="000000"/>
          <w:sz w:val="24"/>
          <w:szCs w:val="24"/>
        </w:rPr>
        <w:t>（二）甲方（用户）有权要求乙方按照本合同约定及时提供服务，并对乙方的服务成果进行评估和确定，提出修改意见。</w:t>
      </w:r>
    </w:p>
    <w:p>
      <w:pPr>
        <w:spacing w:line="480" w:lineRule="atLeast"/>
        <w:ind w:firstLine="480"/>
        <w:rPr>
          <w:rFonts w:ascii="宋体" w:eastAsia="宋体"/>
          <w:color w:val="000000"/>
          <w:sz w:val="24"/>
          <w:szCs w:val="24"/>
        </w:rPr>
      </w:pPr>
      <w:r>
        <w:rPr>
          <w:rFonts w:ascii="宋体" w:eastAsia="宋体" w:cs="宋体" w:hint="eastAsia"/>
          <w:color w:val="000000"/>
          <w:sz w:val="24"/>
          <w:szCs w:val="24"/>
        </w:rPr>
        <w:t>（三）甲方（用户）对服务成果拥有所有权以及全部、完整的知识产权（包括但不限于著作权、专利权、商标权以及知识产权申请权等）。甲方（用户）可安排技术人员参与核心工作，以便后续维护。</w:t>
      </w:r>
    </w:p>
    <w:p>
      <w:pPr>
        <w:spacing w:line="480" w:lineRule="atLeast"/>
        <w:ind w:firstLine="480"/>
        <w:rPr>
          <w:rFonts w:ascii="宋体" w:eastAsia="宋体"/>
          <w:color w:val="000000"/>
          <w:sz w:val="24"/>
          <w:szCs w:val="24"/>
        </w:rPr>
      </w:pPr>
      <w:r>
        <w:rPr>
          <w:rFonts w:ascii="宋体" w:eastAsia="宋体" w:cs="宋体" w:hint="eastAsia"/>
          <w:color w:val="000000"/>
          <w:sz w:val="24"/>
          <w:szCs w:val="24"/>
        </w:rPr>
        <w:t>（四）甲方（用户）有权在海关范围内对技术服务涉及的所有成果进行推广应用。</w:t>
      </w:r>
    </w:p>
    <w:p>
      <w:pPr>
        <w:spacing w:line="480" w:lineRule="atLeast"/>
        <w:ind w:firstLine="480"/>
        <w:rPr>
          <w:rFonts w:ascii="宋体" w:eastAsia="宋体"/>
          <w:color w:val="000000"/>
          <w:sz w:val="24"/>
          <w:szCs w:val="24"/>
        </w:rPr>
      </w:pPr>
      <w:r>
        <w:rPr>
          <w:rFonts w:ascii="宋体" w:eastAsia="宋体" w:cs="宋体" w:hint="eastAsia"/>
          <w:color w:val="000000"/>
          <w:sz w:val="24"/>
          <w:szCs w:val="24"/>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若乙方的补正和改进在甲方（用户）规定的期限内仍无法达到合同要求，视为乙方违约，甲方有权追究乙方违约责任。</w:t>
      </w:r>
    </w:p>
    <w:p>
      <w:pPr>
        <w:spacing w:line="480" w:lineRule="atLeast"/>
        <w:ind w:firstLine="480"/>
        <w:rPr>
          <w:rFonts w:ascii="宋体" w:eastAsia="宋体"/>
          <w:color w:val="000000"/>
          <w:sz w:val="24"/>
          <w:szCs w:val="24"/>
        </w:rPr>
      </w:pPr>
      <w:r>
        <w:rPr>
          <w:rFonts w:ascii="宋体" w:eastAsia="宋体" w:cs="宋体" w:hint="eastAsia"/>
          <w:color w:val="000000"/>
          <w:sz w:val="24"/>
          <w:szCs w:val="24"/>
        </w:rPr>
        <w:t>（六）甲方（用户）应在实施过程中向乙方提供下列工作条件和协作事项：</w:t>
      </w:r>
    </w:p>
    <w:p>
      <w:pPr>
        <w:spacing w:line="480" w:lineRule="atLeast"/>
        <w:ind w:left="638"/>
        <w:rPr>
          <w:rFonts w:ascii="宋体" w:eastAsia="宋体"/>
          <w:color w:val="000000"/>
          <w:sz w:val="24"/>
          <w:szCs w:val="24"/>
        </w:rPr>
      </w:pPr>
      <w:r>
        <w:rPr>
          <w:rFonts w:ascii="宋体" w:eastAsia="宋体" w:cs="宋体" w:hint="eastAsia"/>
          <w:color w:val="000000"/>
          <w:sz w:val="24"/>
          <w:szCs w:val="24"/>
        </w:rPr>
        <w:t>1.提供完成技术服务所需的全部文档及相关资料；</w:t>
      </w:r>
    </w:p>
    <w:p>
      <w:pPr>
        <w:spacing w:line="480" w:lineRule="atLeast"/>
        <w:ind w:left="638"/>
        <w:rPr>
          <w:rFonts w:ascii="宋体" w:eastAsia="宋体"/>
          <w:color w:val="000000"/>
          <w:sz w:val="24"/>
          <w:szCs w:val="24"/>
        </w:rPr>
      </w:pPr>
      <w:r>
        <w:rPr>
          <w:rFonts w:ascii="宋体" w:eastAsia="宋体" w:cs="宋体" w:hint="eastAsia"/>
          <w:color w:val="000000"/>
          <w:sz w:val="24"/>
          <w:szCs w:val="24"/>
        </w:rPr>
        <w:t>2.解答或协调解答技术服务实施过程中的需求问题。</w:t>
      </w:r>
    </w:p>
    <w:p>
      <w:pPr>
        <w:spacing w:line="480" w:lineRule="atLeast"/>
        <w:ind w:firstLine="480"/>
        <w:rPr>
          <w:rFonts w:ascii="宋体" w:eastAsia="宋体"/>
          <w:color w:val="000000"/>
          <w:sz w:val="24"/>
          <w:szCs w:val="24"/>
        </w:rPr>
      </w:pPr>
      <w:r>
        <w:rPr>
          <w:rFonts w:ascii="宋体" w:eastAsia="宋体" w:cs="宋体" w:hint="eastAsia"/>
          <w:color w:val="000000"/>
          <w:sz w:val="24"/>
          <w:szCs w:val="24"/>
        </w:rPr>
        <w:t>（七）在乙方完成相应阶段工作并满足付款条件时，甲方应按照本合同的约定及时支付合同价款。</w:t>
      </w:r>
    </w:p>
    <w:p>
      <w:pPr>
        <w:spacing w:line="480" w:lineRule="atLeast"/>
        <w:ind w:firstLine="480"/>
        <w:rPr>
          <w:rFonts w:ascii="宋体" w:eastAsia="宋体"/>
          <w:bCs/>
          <w:color w:val="000000"/>
          <w:sz w:val="24"/>
          <w:szCs w:val="24"/>
        </w:rPr>
      </w:pPr>
      <w:r>
        <w:rPr>
          <w:rFonts w:ascii="宋体" w:eastAsia="宋体" w:cs="宋体" w:hint="eastAsia"/>
          <w:color w:val="000000"/>
          <w:sz w:val="24"/>
          <w:szCs w:val="24"/>
        </w:rPr>
        <w:t>二、乙方的权利与义务</w:t>
      </w:r>
    </w:p>
    <w:p>
      <w:pPr>
        <w:spacing w:line="480" w:lineRule="atLeast"/>
        <w:ind w:firstLine="480"/>
        <w:rPr>
          <w:rFonts w:ascii="宋体" w:eastAsia="宋体" w:cs="宋体"/>
          <w:color w:val="000000"/>
          <w:sz w:val="24"/>
          <w:szCs w:val="24"/>
        </w:rPr>
      </w:pPr>
      <w:r>
        <w:rPr>
          <w:rFonts w:ascii="宋体" w:eastAsia="宋体" w:cs="宋体" w:hint="eastAsia"/>
          <w:color w:val="000000"/>
          <w:sz w:val="24"/>
          <w:szCs w:val="24"/>
        </w:rPr>
        <w:t>（一）乙方保证在甲方规定的工期进度内按照合同以及合同附件的要求完成应交付的完整、合格服务，并符合服务质量要求。</w:t>
      </w:r>
    </w:p>
    <w:p>
      <w:pPr>
        <w:spacing w:line="480" w:lineRule="atLeast"/>
        <w:ind w:firstLine="480"/>
        <w:rPr>
          <w:rFonts w:ascii="宋体" w:eastAsia="宋体"/>
          <w:color w:val="000000"/>
          <w:sz w:val="24"/>
          <w:szCs w:val="24"/>
        </w:rPr>
      </w:pPr>
      <w:r>
        <w:rPr>
          <w:rFonts w:ascii="宋体" w:eastAsia="宋体" w:cs="宋体" w:hint="eastAsia"/>
          <w:color w:val="000000"/>
          <w:sz w:val="24"/>
          <w:szCs w:val="24"/>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spacing w:line="480" w:lineRule="atLeast"/>
        <w:ind w:firstLine="480"/>
        <w:rPr>
          <w:rFonts w:ascii="宋体" w:eastAsia="宋体"/>
          <w:color w:val="000000"/>
          <w:sz w:val="24"/>
          <w:szCs w:val="24"/>
        </w:rPr>
      </w:pPr>
      <w:r>
        <w:rPr>
          <w:rFonts w:ascii="宋体" w:eastAsia="宋体" w:cs="宋体" w:hint="eastAsia"/>
          <w:color w:val="000000"/>
          <w:sz w:val="24"/>
          <w:szCs w:val="24"/>
        </w:rPr>
        <w:t>（三）乙方应派专人负责技术服务执行，以保证技术服务顺利进行，加强风险分析与控制，对风险要有详细的分析，有可靠的控制手段和措施，并及时向甲方（用户）汇报。</w:t>
      </w:r>
    </w:p>
    <w:p>
      <w:pPr>
        <w:spacing w:line="480" w:lineRule="atLeast"/>
        <w:ind w:firstLine="480"/>
        <w:rPr>
          <w:rFonts w:ascii="宋体" w:eastAsia="宋体" w:cs="宋体"/>
          <w:color w:val="000000"/>
          <w:sz w:val="24"/>
          <w:szCs w:val="24"/>
        </w:rPr>
      </w:pPr>
      <w:r>
        <w:rPr>
          <w:rFonts w:ascii="宋体" w:eastAsia="宋体" w:cs="宋体" w:hint="eastAsia"/>
          <w:color w:val="000000"/>
          <w:sz w:val="24"/>
          <w:szCs w:val="24"/>
        </w:rPr>
        <w:t>（四）乙方应在服务期内及时修复安全漏洞。</w:t>
      </w:r>
    </w:p>
    <w:p>
      <w:pPr>
        <w:spacing w:line="480" w:lineRule="atLeast"/>
        <w:ind w:firstLine="480"/>
        <w:rPr>
          <w:rFonts w:ascii="宋体" w:eastAsia="宋体"/>
          <w:color w:val="000000"/>
          <w:sz w:val="24"/>
          <w:szCs w:val="24"/>
        </w:rPr>
      </w:pPr>
      <w:r>
        <w:rPr>
          <w:rFonts w:ascii="宋体" w:eastAsia="宋体" w:cs="宋体" w:hint="eastAsia"/>
          <w:color w:val="000000"/>
          <w:sz w:val="24"/>
          <w:szCs w:val="24"/>
        </w:rPr>
        <w:t>（五）乙方所派人员应熟练掌握所需技术，所派人员对技术服务内容进行严格保密，不得泄露相关信息。</w:t>
      </w:r>
    </w:p>
    <w:p>
      <w:pPr>
        <w:spacing w:line="480" w:lineRule="atLeast"/>
        <w:ind w:firstLine="480"/>
        <w:rPr>
          <w:rFonts w:ascii="宋体" w:eastAsia="宋体"/>
          <w:color w:val="000000"/>
          <w:sz w:val="24"/>
          <w:szCs w:val="24"/>
        </w:rPr>
      </w:pPr>
      <w:r>
        <w:rPr>
          <w:rFonts w:ascii="宋体" w:eastAsia="宋体" w:cs="宋体" w:hint="eastAsia"/>
          <w:color w:val="000000"/>
          <w:sz w:val="24"/>
          <w:szCs w:val="24"/>
        </w:rPr>
        <w:t>（六）乙方在履行合同义务的情形下有权要求甲方按本合同的约定及时支付合同价款。</w:t>
      </w:r>
    </w:p>
    <w:p>
      <w:pPr>
        <w:spacing w:line="480" w:lineRule="atLeast"/>
        <w:ind w:firstLine="480"/>
        <w:rPr>
          <w:rFonts w:ascii="宋体" w:eastAsia="宋体"/>
          <w:color w:val="000000"/>
          <w:sz w:val="24"/>
          <w:szCs w:val="24"/>
        </w:rPr>
      </w:pPr>
      <w:r>
        <w:rPr>
          <w:rFonts w:ascii="宋体" w:eastAsia="宋体" w:cs="宋体" w:hint="eastAsia"/>
          <w:color w:val="000000"/>
          <w:sz w:val="24"/>
          <w:szCs w:val="24"/>
        </w:rPr>
        <w:t>（七）乙方应按甲方（用户）要求保质保量地完成相关代码实现以及配套文档的编制工作，并及时、完整向甲方（用户）交付相关材料。</w:t>
      </w:r>
    </w:p>
    <w:p>
      <w:pPr>
        <w:spacing w:line="480" w:lineRule="atLeast"/>
        <w:ind w:firstLine="480"/>
        <w:rPr>
          <w:rFonts w:ascii="宋体" w:eastAsia="宋体" w:cs="宋体"/>
          <w:color w:val="000000"/>
          <w:sz w:val="24"/>
          <w:szCs w:val="24"/>
        </w:rPr>
      </w:pPr>
      <w:r>
        <w:rPr>
          <w:rFonts w:ascii="宋体" w:eastAsia="宋体" w:cs="宋体" w:hint="eastAsia"/>
          <w:color w:val="000000"/>
          <w:sz w:val="24"/>
          <w:szCs w:val="24"/>
        </w:rPr>
        <w:t>（八）乙方应无条件配合完成技术服务的业务测试工作。</w:t>
      </w:r>
    </w:p>
    <w:p>
      <w:pPr>
        <w:spacing w:line="480" w:lineRule="atLeast"/>
        <w:ind w:firstLine="480"/>
        <w:rPr>
          <w:rFonts w:ascii="宋体" w:eastAsia="宋体" w:cs="宋体"/>
          <w:color w:val="000000"/>
          <w:sz w:val="24"/>
          <w:szCs w:val="24"/>
        </w:rPr>
      </w:pPr>
      <w:r>
        <w:rPr>
          <w:rFonts w:ascii="宋体" w:eastAsia="宋体" w:cs="宋体" w:hint="eastAsia"/>
          <w:color w:val="000000"/>
          <w:sz w:val="24"/>
          <w:szCs w:val="24"/>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spacing w:line="480" w:lineRule="atLeast"/>
        <w:ind w:firstLine="480"/>
        <w:rPr>
          <w:rFonts w:ascii="宋体" w:eastAsia="宋体" w:cs="宋体"/>
          <w:color w:val="000000"/>
          <w:sz w:val="24"/>
          <w:szCs w:val="24"/>
        </w:rPr>
      </w:pPr>
      <w:r>
        <w:rPr>
          <w:rFonts w:ascii="宋体" w:eastAsia="宋体" w:cs="宋体" w:hint="eastAsia"/>
          <w:color w:val="000000"/>
          <w:sz w:val="24"/>
          <w:szCs w:val="24"/>
        </w:rPr>
        <w:t>（十）乙方须遵守甲方（用户）提出的各项安全管理要求。</w:t>
      </w:r>
    </w:p>
    <w:p>
      <w:pPr>
        <w:spacing w:line="480" w:lineRule="atLeast"/>
        <w:ind w:firstLine="480"/>
        <w:rPr>
          <w:rFonts w:ascii="宋体" w:eastAsia="宋体" w:cs="宋体"/>
          <w:color w:val="000000"/>
          <w:sz w:val="24"/>
          <w:szCs w:val="24"/>
        </w:rPr>
      </w:pPr>
      <w:r>
        <w:rPr>
          <w:rFonts w:ascii="宋体" w:eastAsia="宋体" w:cs="宋体" w:hint="eastAsia"/>
          <w:color w:val="000000"/>
          <w:sz w:val="24"/>
          <w:szCs w:val="24"/>
        </w:rPr>
        <w:t>（十一）乙方须按照国家关于通过政府采购渠道参与政务信息化建设的有关要求，签订《政务数据安全管理承诺书》，具体详见附件。</w:t>
      </w:r>
    </w:p>
    <w:p>
      <w:pPr>
        <w:ind w:firstLine="480" w:firstLineChars="200"/>
        <w:rPr>
          <w:rFonts w:ascii="宋体"/>
          <w:b/>
          <w:bCs/>
          <w:color w:val="000000"/>
          <w:sz w:val="24"/>
        </w:rPr>
      </w:pPr>
      <w:r>
        <w:rPr>
          <w:rFonts w:ascii="宋体" w:hint="eastAsia"/>
          <w:b/>
          <w:bCs/>
          <w:color w:val="000000"/>
          <w:sz w:val="24"/>
        </w:rPr>
        <w:t>第十一条 违约责任</w:t>
      </w:r>
    </w:p>
    <w:p>
      <w:pPr>
        <w:ind w:firstLine="480" w:firstLineChars="200"/>
        <w:rPr>
          <w:rFonts w:ascii="宋体"/>
          <w:color w:val="000000"/>
          <w:sz w:val="24"/>
        </w:rPr>
      </w:pPr>
      <w:r>
        <w:rPr>
          <w:rFonts w:ascii="宋体" w:hint="eastAsia"/>
          <w:color w:val="000000"/>
          <w:sz w:val="24"/>
        </w:rPr>
        <w:t>（一）乙方未按照本合同规定的时间提供服务的违约责任。</w:t>
      </w:r>
    </w:p>
    <w:p>
      <w:pPr>
        <w:ind w:firstLine="480" w:firstLineChars="200"/>
        <w:rPr>
          <w:rFonts w:ascii="宋体" w:eastAsia="宋体"/>
          <w:color w:val="000000"/>
          <w:sz w:val="24"/>
          <w:szCs w:val="24"/>
        </w:rPr>
      </w:pPr>
      <w:r>
        <w:rPr>
          <w:rFonts w:ascii="宋体" w:eastAsia="宋体" w:hint="eastAsia"/>
          <w:color w:val="000000"/>
          <w:sz w:val="24"/>
          <w:szCs w:val="24"/>
        </w:rPr>
        <w:t>1.在履行合同过程中，如果乙方遇到可能妨碍按时提供服务的情形时，应及时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ind w:firstLine="480" w:firstLineChars="200"/>
        <w:rPr>
          <w:rFonts w:ascii="宋体" w:eastAsia="宋体"/>
          <w:color w:val="000000"/>
          <w:sz w:val="24"/>
          <w:szCs w:val="24"/>
        </w:rPr>
      </w:pPr>
      <w:r>
        <w:rPr>
          <w:rFonts w:ascii="宋体" w:eastAsia="宋体" w:hint="eastAsia"/>
          <w:color w:val="000000"/>
          <w:sz w:val="24"/>
          <w:szCs w:val="24"/>
        </w:rPr>
        <w:t>2.除甲乙双方另有约定外，如果乙方没有按照合同规定的时间提供服务，甲方有权在不影响合同项下其他补救措施的情况下，要求乙方支付误期赔偿费，或从合同款、履约保证金中扣除误期赔偿费。赔偿费按每周未提供服务费用的百分之零点五（0.5%）计收，直到提供服务为止。但误期赔偿费的最高限额不超过误期服务合同价格的百分之十（10%）。一周按七（7）天计算，不足七（7）天按一周计算。</w:t>
      </w:r>
    </w:p>
    <w:p>
      <w:pPr>
        <w:ind w:firstLine="480" w:firstLineChars="200"/>
        <w:rPr>
          <w:rFonts w:ascii="宋体" w:eastAsia="宋体"/>
          <w:color w:val="000000"/>
          <w:sz w:val="24"/>
          <w:szCs w:val="24"/>
        </w:rPr>
      </w:pPr>
      <w:r>
        <w:rPr>
          <w:rFonts w:ascii="宋体" w:eastAsia="宋体" w:hint="eastAsia"/>
          <w:color w:val="000000"/>
          <w:sz w:val="24"/>
          <w:szCs w:val="24"/>
        </w:rPr>
        <w:t>3.出现上述没有按照合同规定的时间提供服务的情形时，甲方也可以选择解除合同，要求乙方退回甲方已支付款项、扣除履约保证金并追究乙方相应违约责任、赔偿甲方（用户）的全部损失。</w:t>
      </w:r>
    </w:p>
    <w:p>
      <w:pPr>
        <w:ind w:firstLine="480" w:firstLineChars="200"/>
        <w:rPr>
          <w:rFonts w:ascii="宋体" w:eastAsia="宋体"/>
          <w:color w:val="000000"/>
          <w:sz w:val="24"/>
          <w:szCs w:val="24"/>
        </w:rPr>
      </w:pPr>
      <w:r>
        <w:rPr>
          <w:rFonts w:ascii="宋体" w:eastAsia="宋体" w:hint="eastAsia"/>
          <w:color w:val="000000"/>
          <w:sz w:val="24"/>
          <w:szCs w:val="24"/>
        </w:rPr>
        <w:t>（二）因乙方或乙方工作人员或乙方相关方的作为或不作为行为致使甲方</w:t>
      </w:r>
      <w:r>
        <w:rPr>
          <w:rFonts w:ascii="宋体" w:eastAsia="宋体" w:cs="宋体" w:hint="eastAsia"/>
          <w:color w:val="000000"/>
          <w:sz w:val="24"/>
          <w:szCs w:val="24"/>
        </w:rPr>
        <w:t>（用户）</w:t>
      </w:r>
      <w:r>
        <w:rPr>
          <w:rFonts w:ascii="宋体" w:eastAsia="宋体" w:hint="eastAsia"/>
          <w:color w:val="000000"/>
          <w:sz w:val="24"/>
          <w:szCs w:val="24"/>
        </w:rPr>
        <w:t>或第三方遭受人员人身伤害或财产损失的，乙方应承担全部赔偿责任，赔偿全部损失，且甲方有权以全部履约保证金作为违约金，解除本合同。</w:t>
      </w:r>
    </w:p>
    <w:p>
      <w:pPr>
        <w:ind w:firstLine="480" w:firstLineChars="200"/>
        <w:rPr>
          <w:rFonts w:ascii="宋体"/>
          <w:color w:val="000000"/>
          <w:sz w:val="24"/>
        </w:rPr>
      </w:pPr>
      <w:r>
        <w:rPr>
          <w:rFonts w:ascii="宋体" w:hint="eastAsia"/>
          <w:color w:val="000000"/>
          <w:sz w:val="24"/>
        </w:rPr>
        <w:t>（三）在本合同履行过程中，如果有证据证明乙方根本无法履行合同的，甲方可以行使不安抗辩权，有权解除合同，并扣除履约保证金，如因乙方不能履行给甲方</w:t>
      </w:r>
      <w:r>
        <w:rPr>
          <w:rFonts w:ascii="宋体" w:cs="宋体" w:hint="eastAsia"/>
          <w:color w:val="000000"/>
          <w:sz w:val="24"/>
        </w:rPr>
        <w:t>（用户）</w:t>
      </w:r>
      <w:r>
        <w:rPr>
          <w:rFonts w:ascii="宋体" w:hint="eastAsia"/>
          <w:color w:val="000000"/>
          <w:sz w:val="24"/>
        </w:rPr>
        <w:t>造成其他损失的，乙方应继续承担赔偿责任。</w:t>
      </w:r>
    </w:p>
    <w:p>
      <w:pPr>
        <w:ind w:firstLine="480" w:firstLineChars="200"/>
        <w:rPr>
          <w:rFonts w:ascii="宋体"/>
          <w:b/>
          <w:bCs/>
          <w:color w:val="000000"/>
          <w:sz w:val="24"/>
        </w:rPr>
      </w:pPr>
      <w:r>
        <w:rPr>
          <w:rFonts w:ascii="宋体" w:hint="eastAsia"/>
          <w:b/>
          <w:bCs/>
          <w:color w:val="000000"/>
          <w:sz w:val="24"/>
        </w:rPr>
        <w:t>第十二条 使用合同文件和资料</w:t>
      </w:r>
    </w:p>
    <w:p>
      <w:pPr>
        <w:ind w:firstLine="480" w:firstLineChars="200"/>
        <w:rPr>
          <w:rFonts w:ascii="宋体"/>
          <w:color w:val="000000"/>
          <w:sz w:val="24"/>
        </w:rPr>
      </w:pPr>
      <w:r>
        <w:rPr>
          <w:rFonts w:ascii="宋体" w:hint="eastAsia"/>
          <w:color w:val="000000"/>
          <w:sz w:val="24"/>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ind w:firstLine="480" w:firstLineChars="200"/>
        <w:rPr>
          <w:rFonts w:ascii="宋体"/>
          <w:color w:val="000000"/>
          <w:sz w:val="24"/>
        </w:rPr>
      </w:pPr>
      <w:r>
        <w:rPr>
          <w:rFonts w:ascii="宋体" w:hint="eastAsia"/>
          <w:color w:val="000000"/>
          <w:sz w:val="24"/>
        </w:rPr>
        <w:t>（二）没有甲方（用户）事先书面同意，除了履行本合同之外，乙方不应使用、传播与本合同相关的任何文件、资料。</w:t>
      </w:r>
    </w:p>
    <w:p>
      <w:pPr>
        <w:ind w:firstLine="480" w:firstLineChars="200"/>
        <w:rPr>
          <w:rFonts w:ascii="宋体"/>
          <w:b/>
          <w:bCs/>
          <w:color w:val="000000"/>
          <w:sz w:val="24"/>
        </w:rPr>
      </w:pPr>
      <w:r>
        <w:rPr>
          <w:rFonts w:ascii="宋体" w:hint="eastAsia"/>
          <w:b/>
          <w:bCs/>
          <w:color w:val="000000"/>
          <w:sz w:val="24"/>
        </w:rPr>
        <w:t>第十三条 知识产权</w:t>
      </w:r>
    </w:p>
    <w:p>
      <w:pPr>
        <w:ind w:firstLine="480" w:firstLineChars="200"/>
        <w:rPr>
          <w:rFonts w:ascii="宋体"/>
          <w:color w:val="000000"/>
          <w:sz w:val="24"/>
        </w:rPr>
      </w:pPr>
      <w:r>
        <w:rPr>
          <w:rFonts w:ascii="宋体" w:hint="eastAsia"/>
          <w:color w:val="000000"/>
          <w:sz w:val="24"/>
        </w:rPr>
        <w:t>（一）乙方应保证所提供的服务成果不侵犯任何第三方的知识产权（专利权、商标权、版权等）及其他任何合法权益。如果甲方（用户）在使用乙方服务成果的任何一部分过程中，遭致第三方索赔或主张权利的，乙方应当修正以避免侵权。</w:t>
      </w:r>
    </w:p>
    <w:p>
      <w:pPr>
        <w:ind w:firstLine="480" w:firstLineChars="200"/>
        <w:rPr>
          <w:rFonts w:ascii="宋体"/>
          <w:color w:val="000000"/>
          <w:sz w:val="24"/>
        </w:rPr>
      </w:pPr>
      <w:r>
        <w:rPr>
          <w:rFonts w:ascii="宋体" w:hint="eastAsia"/>
          <w:color w:val="000000"/>
          <w:sz w:val="24"/>
        </w:rPr>
        <w:t>（二）如果甲方（用户）在使用乙方服务成果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80" w:firstLineChars="200"/>
        <w:rPr>
          <w:rFonts w:ascii="宋体"/>
          <w:color w:val="000000"/>
          <w:sz w:val="24"/>
        </w:rPr>
      </w:pPr>
      <w:r>
        <w:rPr>
          <w:rFonts w:ascii="宋体" w:hint="eastAsia"/>
          <w:color w:val="000000"/>
          <w:sz w:val="24"/>
        </w:rPr>
        <w:t>（三）如乙方提供的服务成果确实侵犯了第三方合法权益（包括但不限于知识产权）的，甲方有权解除合同，没收履约保证金，要求乙方退回已支付的全部款项，并赔偿甲方的全部损失及支出的合理费用。</w:t>
      </w:r>
    </w:p>
    <w:p>
      <w:pPr>
        <w:ind w:firstLine="480" w:firstLineChars="200"/>
        <w:rPr>
          <w:rFonts w:ascii="宋体"/>
          <w:b/>
          <w:bCs/>
          <w:color w:val="000000"/>
          <w:sz w:val="24"/>
        </w:rPr>
      </w:pPr>
      <w:r>
        <w:rPr>
          <w:rFonts w:ascii="宋体" w:hint="eastAsia"/>
          <w:b/>
          <w:bCs/>
          <w:color w:val="000000"/>
          <w:sz w:val="24"/>
        </w:rPr>
        <w:t>第十四条 不可抗力及其免责</w:t>
      </w:r>
    </w:p>
    <w:p>
      <w:pPr>
        <w:ind w:firstLine="480" w:firstLineChars="200"/>
        <w:rPr>
          <w:rFonts w:ascii="宋体"/>
          <w:color w:val="000000"/>
          <w:sz w:val="24"/>
        </w:rPr>
      </w:pPr>
      <w:r>
        <w:rPr>
          <w:rFonts w:ascii="宋体" w:hint="eastAsia"/>
          <w:color w:val="000000"/>
          <w:sz w:val="24"/>
        </w:rPr>
        <w:t>（一）如果乙方因不可抗力而导致合同实施延误或不能履行合同义务时，在不可抗力影响的范围内不应该被没收履约保证金，也不应该承担误期赔偿或终止合同的责任。</w:t>
      </w:r>
    </w:p>
    <w:p>
      <w:pPr>
        <w:ind w:firstLine="480" w:firstLineChars="200"/>
        <w:rPr>
          <w:rFonts w:ascii="宋体"/>
          <w:color w:val="000000"/>
          <w:sz w:val="24"/>
        </w:rPr>
      </w:pPr>
      <w:r>
        <w:rPr>
          <w:rFonts w:ascii="宋体" w:hint="eastAsia"/>
          <w:color w:val="000000"/>
          <w:sz w:val="24"/>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80" w:firstLineChars="200"/>
        <w:rPr>
          <w:rFonts w:ascii="宋体"/>
          <w:color w:val="000000"/>
          <w:sz w:val="24"/>
        </w:rPr>
      </w:pPr>
      <w:r>
        <w:rPr>
          <w:rFonts w:ascii="宋体" w:hint="eastAsia"/>
          <w:color w:val="000000"/>
          <w:sz w:val="24"/>
        </w:rPr>
        <w:t>（三）乙方在延迟履行合同期间由于不可抗力而不能履行合同的，不能被免除责任。</w:t>
      </w:r>
    </w:p>
    <w:p>
      <w:pPr>
        <w:ind w:firstLine="480" w:firstLineChars="200"/>
        <w:rPr>
          <w:rFonts w:ascii="宋体"/>
          <w:color w:val="000000"/>
          <w:sz w:val="24"/>
        </w:rPr>
      </w:pPr>
      <w:r>
        <w:rPr>
          <w:rFonts w:ascii="宋体" w:hint="eastAsia"/>
          <w:color w:val="000000"/>
          <w:sz w:val="24"/>
        </w:rPr>
        <w:t>（四）甲方（用户）如遇不可抗力，应尽快以书面形式通知乙方，并尽实际可能履行不受不可抗力影响的其他事项。甲方（用户）不承担因不可抗力不能履行合同所造成的损失。</w:t>
      </w:r>
    </w:p>
    <w:p>
      <w:pPr>
        <w:ind w:firstLine="480" w:firstLineChars="200"/>
        <w:rPr>
          <w:rFonts w:ascii="宋体"/>
          <w:color w:val="000000"/>
          <w:sz w:val="24"/>
        </w:rPr>
      </w:pPr>
      <w:r>
        <w:rPr>
          <w:rFonts w:ascii="宋体" w:hint="eastAsia"/>
          <w:color w:val="000000"/>
          <w:sz w:val="24"/>
        </w:rPr>
        <w:t>（五）本条所述的“不可抗力”指那些不能预见、不能避免并不能克服的客观情况，包括但不限于战争、动乱、严重火灾、洪水、台风、地震等及其他双方同意的情况，但不包括违约或疏忽。</w:t>
      </w:r>
    </w:p>
    <w:p>
      <w:pPr>
        <w:ind w:firstLine="480" w:firstLineChars="200"/>
        <w:rPr>
          <w:rFonts w:ascii="宋体"/>
          <w:b/>
          <w:bCs/>
          <w:color w:val="000000"/>
          <w:sz w:val="24"/>
        </w:rPr>
      </w:pPr>
      <w:r>
        <w:rPr>
          <w:rFonts w:ascii="宋体" w:hint="eastAsia"/>
          <w:b/>
          <w:bCs/>
          <w:color w:val="000000"/>
          <w:sz w:val="24"/>
        </w:rPr>
        <w:t>第十五条 争议的解决</w:t>
      </w:r>
    </w:p>
    <w:p>
      <w:pPr>
        <w:ind w:firstLine="480" w:firstLineChars="200"/>
        <w:rPr>
          <w:rFonts w:ascii="宋体"/>
          <w:color w:val="000000"/>
          <w:sz w:val="24"/>
        </w:rPr>
      </w:pPr>
      <w:r>
        <w:rPr>
          <w:rFonts w:ascii="宋体" w:hint="eastAsia"/>
          <w:color w:val="000000"/>
          <w:sz w:val="24"/>
        </w:rPr>
        <w:t>（一）合同实施或与合同有关的一切争议应通过双方友好协商解决。如果友好协商开始</w:t>
      </w:r>
      <w:r>
        <w:rPr>
          <w:rFonts w:ascii="宋体" w:hint="eastAsia"/>
          <w:color w:val="000000"/>
          <w:sz w:val="24"/>
          <w:u w:val="words"/>
        </w:rPr>
        <w:t>六十天</w:t>
      </w:r>
      <w:r>
        <w:rPr>
          <w:rFonts w:ascii="宋体" w:hint="eastAsia"/>
          <w:color w:val="000000"/>
          <w:sz w:val="24"/>
        </w:rPr>
        <w:t>内还不能解决，争议应提交仲裁。</w:t>
      </w:r>
    </w:p>
    <w:p>
      <w:pPr>
        <w:ind w:firstLine="480" w:firstLineChars="200"/>
        <w:rPr>
          <w:rFonts w:ascii="宋体"/>
          <w:color w:val="000000"/>
          <w:sz w:val="24"/>
        </w:rPr>
      </w:pPr>
      <w:r>
        <w:rPr>
          <w:rFonts w:ascii="宋体" w:hint="eastAsia"/>
          <w:color w:val="000000"/>
          <w:sz w:val="24"/>
        </w:rPr>
        <w:t>（二）仲裁应提交</w:t>
      </w:r>
      <w:r>
        <w:rPr>
          <w:rFonts w:ascii="宋体" w:hint="eastAsia"/>
          <w:color w:val="000000"/>
          <w:sz w:val="24"/>
          <w:u w:val="words"/>
        </w:rPr>
        <w:t>北京仲裁委员会</w:t>
      </w:r>
      <w:r>
        <w:rPr>
          <w:rFonts w:ascii="宋体" w:hint="eastAsia"/>
          <w:color w:val="000000"/>
          <w:sz w:val="24"/>
        </w:rPr>
        <w:t>进行，其仲裁裁决为最终裁决，对双方均有约束力。</w:t>
      </w:r>
    </w:p>
    <w:p>
      <w:pPr>
        <w:ind w:firstLine="480" w:firstLineChars="200"/>
        <w:rPr>
          <w:rFonts w:ascii="宋体"/>
          <w:color w:val="000000"/>
          <w:sz w:val="24"/>
        </w:rPr>
      </w:pPr>
      <w:r>
        <w:rPr>
          <w:rFonts w:ascii="宋体" w:hint="eastAsia"/>
          <w:color w:val="000000"/>
          <w:sz w:val="24"/>
        </w:rPr>
        <w:t>（三）仲裁费除仲裁机关另有裁决外均应由败诉方负担。</w:t>
      </w:r>
    </w:p>
    <w:p>
      <w:pPr>
        <w:ind w:firstLine="480" w:firstLineChars="200"/>
        <w:rPr>
          <w:rFonts w:ascii="宋体"/>
          <w:color w:val="000000"/>
          <w:sz w:val="24"/>
        </w:rPr>
      </w:pPr>
      <w:r>
        <w:rPr>
          <w:rFonts w:ascii="宋体" w:hint="eastAsia"/>
          <w:color w:val="000000"/>
          <w:sz w:val="24"/>
        </w:rPr>
        <w:t>（四）在仲裁期间，除正在进行仲裁的部分外，本合同其他部分应继续履行。</w:t>
      </w:r>
    </w:p>
    <w:p>
      <w:pPr>
        <w:ind w:firstLine="480" w:firstLineChars="200"/>
        <w:rPr>
          <w:rFonts w:ascii="宋体"/>
          <w:b/>
          <w:bCs/>
          <w:color w:val="000000"/>
          <w:sz w:val="24"/>
        </w:rPr>
      </w:pPr>
      <w:r>
        <w:rPr>
          <w:rFonts w:ascii="宋体" w:hint="eastAsia"/>
          <w:b/>
          <w:bCs/>
          <w:color w:val="000000"/>
          <w:sz w:val="24"/>
        </w:rPr>
        <w:t>第十六条 合同修改或变更</w:t>
      </w:r>
    </w:p>
    <w:p>
      <w:pPr>
        <w:ind w:firstLine="480" w:firstLineChars="200"/>
        <w:rPr>
          <w:rFonts w:ascii="宋体"/>
          <w:color w:val="000000"/>
          <w:sz w:val="24"/>
        </w:rPr>
      </w:pPr>
      <w:r>
        <w:rPr>
          <w:rFonts w:ascii="宋体" w:hint="eastAsia"/>
          <w:color w:val="000000"/>
          <w:sz w:val="24"/>
        </w:rPr>
        <w:t>（一）如无重大变故，甲乙双方不得擅自变更合同。</w:t>
      </w:r>
    </w:p>
    <w:p>
      <w:pPr>
        <w:ind w:firstLine="480" w:firstLineChars="200"/>
        <w:rPr>
          <w:rFonts w:ascii="宋体"/>
          <w:color w:val="000000"/>
          <w:sz w:val="24"/>
        </w:rPr>
      </w:pPr>
      <w:r>
        <w:rPr>
          <w:rFonts w:ascii="宋体" w:hint="eastAsia"/>
          <w:color w:val="000000"/>
          <w:sz w:val="24"/>
        </w:rPr>
        <w:t>（二）如确需变更合同，甲乙双方应签署书面变更协议。变更协议为本合同不可分割的一部分。</w:t>
      </w:r>
    </w:p>
    <w:p>
      <w:pPr>
        <w:ind w:firstLine="480" w:firstLineChars="200"/>
        <w:rPr>
          <w:rFonts w:ascii="宋体"/>
          <w:color w:val="000000"/>
          <w:sz w:val="24"/>
        </w:rPr>
      </w:pPr>
      <w:r>
        <w:rPr>
          <w:rFonts w:ascii="宋体" w:hint="eastAsia"/>
          <w:color w:val="000000"/>
          <w:sz w:val="24"/>
        </w:rPr>
        <w:t>（三）在不改变合同其他条款的前提下，甲方（用户）有权在合同价款10%的范围内追加与合同标的相同的服务，并就此与乙方签订补充合同，乙方不得拒绝。</w:t>
      </w:r>
    </w:p>
    <w:p>
      <w:pPr>
        <w:ind w:firstLine="480" w:firstLineChars="200"/>
        <w:rPr>
          <w:rFonts w:ascii="宋体"/>
          <w:b/>
          <w:bCs/>
          <w:color w:val="000000"/>
          <w:sz w:val="24"/>
        </w:rPr>
      </w:pPr>
      <w:r>
        <w:rPr>
          <w:rFonts w:ascii="宋体" w:hint="eastAsia"/>
          <w:b/>
          <w:bCs/>
          <w:color w:val="000000"/>
          <w:sz w:val="24"/>
        </w:rPr>
        <w:t>第十七条 合同中止</w:t>
      </w:r>
    </w:p>
    <w:p>
      <w:pPr>
        <w:ind w:firstLine="480" w:firstLineChars="200"/>
        <w:rPr>
          <w:rFonts w:ascii="宋体"/>
          <w:color w:val="000000"/>
          <w:sz w:val="24"/>
        </w:rPr>
      </w:pPr>
      <w:r>
        <w:rPr>
          <w:rFonts w:ascii="宋体" w:hint="eastAsia"/>
          <w:color w:val="000000"/>
          <w:sz w:val="24"/>
        </w:rPr>
        <w:t>（一）合同在履行过程中，因采购计划调整，甲方（用户）可以要求中止履行，待计划确定后继续履行。</w:t>
      </w:r>
    </w:p>
    <w:p>
      <w:pPr>
        <w:ind w:firstLine="480" w:firstLineChars="200"/>
        <w:rPr>
          <w:rFonts w:ascii="宋体"/>
          <w:color w:val="000000"/>
          <w:sz w:val="24"/>
        </w:rPr>
      </w:pPr>
      <w:r>
        <w:rPr>
          <w:rFonts w:ascii="宋体" w:hint="eastAsia"/>
          <w:color w:val="000000"/>
          <w:sz w:val="24"/>
        </w:rPr>
        <w:t>（二）合同签订或履行过程中因其他供应商就采购过程或结果提起质疑、投诉、行政复议、行政诉讼的，甲方（用户）认为有必要或财政部责令中止的，应当中止合同的履行。</w:t>
      </w:r>
    </w:p>
    <w:p>
      <w:pPr>
        <w:ind w:firstLine="480" w:firstLineChars="200"/>
        <w:rPr>
          <w:rFonts w:ascii="宋体"/>
          <w:b/>
          <w:bCs/>
          <w:color w:val="000000"/>
          <w:sz w:val="24"/>
        </w:rPr>
      </w:pPr>
      <w:r>
        <w:rPr>
          <w:rFonts w:ascii="宋体" w:hint="eastAsia"/>
          <w:b/>
          <w:bCs/>
          <w:color w:val="000000"/>
          <w:sz w:val="24"/>
        </w:rPr>
        <w:t>第十八条 合同解除</w:t>
      </w:r>
    </w:p>
    <w:p>
      <w:pPr>
        <w:ind w:firstLine="480" w:firstLineChars="200"/>
        <w:rPr>
          <w:rFonts w:ascii="宋体"/>
          <w:color w:val="000000"/>
          <w:sz w:val="24"/>
        </w:rPr>
      </w:pPr>
      <w:r>
        <w:rPr>
          <w:rFonts w:ascii="宋体" w:hint="eastAsia"/>
          <w:color w:val="000000"/>
          <w:sz w:val="24"/>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ind w:firstLine="480" w:firstLineChars="200"/>
        <w:rPr>
          <w:rFonts w:ascii="宋体"/>
          <w:color w:val="000000"/>
          <w:sz w:val="24"/>
        </w:rPr>
      </w:pPr>
      <w:r>
        <w:rPr>
          <w:rFonts w:ascii="宋体" w:hint="eastAsia"/>
          <w:color w:val="000000"/>
          <w:sz w:val="24"/>
        </w:rPr>
        <w:t>（一）因违约解除合同</w:t>
      </w:r>
    </w:p>
    <w:p>
      <w:pPr>
        <w:ind w:firstLine="480" w:firstLineChars="200"/>
        <w:rPr>
          <w:rFonts w:ascii="宋体"/>
          <w:color w:val="000000"/>
          <w:sz w:val="24"/>
        </w:rPr>
      </w:pPr>
      <w:r>
        <w:rPr>
          <w:rFonts w:ascii="宋体" w:hint="eastAsia"/>
          <w:color w:val="000000"/>
          <w:sz w:val="24"/>
        </w:rPr>
        <w:t>1.在甲方（用户）因乙方违约而采取的任何补救措施不受影响的情况下，甲方（用户）可向乙方发出书面违约通知书，提出解除部分或全部合同：</w:t>
      </w:r>
    </w:p>
    <w:p>
      <w:pPr>
        <w:ind w:firstLine="480" w:firstLineChars="200"/>
        <w:rPr>
          <w:rFonts w:ascii="宋体"/>
          <w:color w:val="000000"/>
          <w:sz w:val="24"/>
        </w:rPr>
      </w:pPr>
      <w:r>
        <w:rPr>
          <w:rFonts w:ascii="宋体" w:hint="eastAsia"/>
          <w:color w:val="000000"/>
          <w:sz w:val="24"/>
        </w:rPr>
        <w:t>（1）如果乙方未能在合同规定的期限或甲方（用户）根据合同条款的规定同意延长的限期内提供部分或全部的服务，达到合同所规定的要求；</w:t>
      </w:r>
    </w:p>
    <w:p>
      <w:pPr>
        <w:ind w:firstLine="480" w:firstLineChars="200"/>
        <w:rPr>
          <w:rFonts w:ascii="宋体"/>
          <w:color w:val="000000"/>
          <w:sz w:val="24"/>
        </w:rPr>
      </w:pPr>
      <w:r>
        <w:rPr>
          <w:rFonts w:ascii="宋体" w:hint="eastAsia"/>
          <w:color w:val="000000"/>
          <w:sz w:val="24"/>
        </w:rPr>
        <w:t>（2）如果甲方（用户）发现乙方在本合同的竞争或实施中有欺诈行为。</w:t>
      </w:r>
    </w:p>
    <w:p>
      <w:pPr>
        <w:ind w:firstLine="480" w:firstLineChars="200"/>
        <w:rPr>
          <w:rFonts w:ascii="宋体"/>
          <w:color w:val="000000"/>
          <w:sz w:val="24"/>
        </w:rPr>
      </w:pPr>
      <w:r>
        <w:rPr>
          <w:rFonts w:ascii="宋体" w:hint="eastAsia"/>
          <w:color w:val="000000"/>
          <w:sz w:val="24"/>
        </w:rPr>
        <w:t>（3）如果乙方未能履行合同规定的其他任何义务。</w:t>
      </w:r>
    </w:p>
    <w:p>
      <w:pPr>
        <w:ind w:firstLine="480" w:firstLineChars="200"/>
        <w:rPr>
          <w:rFonts w:ascii="宋体"/>
          <w:color w:val="000000"/>
          <w:sz w:val="24"/>
        </w:rPr>
      </w:pPr>
      <w:r>
        <w:rPr>
          <w:rFonts w:ascii="宋体" w:hint="eastAsia"/>
          <w:color w:val="000000"/>
          <w:sz w:val="24"/>
        </w:rPr>
        <w:t>2.如果甲方（用户）根据上述规定与乙方全部或部分解除合同，</w:t>
      </w:r>
      <w:r>
        <w:rPr>
          <w:rFonts w:ascii="宋体" w:hint="eastAsia"/>
          <w:bCs/>
          <w:color w:val="000000"/>
          <w:sz w:val="24"/>
        </w:rPr>
        <w:t>甲方（用户）可以依其认为适当的条件和方法购买乙方未能提供的服务，乙方应对甲方购买服务所超出的费用负责</w:t>
      </w:r>
      <w:r>
        <w:rPr>
          <w:rFonts w:ascii="宋体" w:hint="eastAsia"/>
          <w:color w:val="000000"/>
          <w:sz w:val="24"/>
        </w:rPr>
        <w:t>。</w:t>
      </w:r>
      <w:r>
        <w:rPr>
          <w:rFonts w:ascii="宋体" w:hint="eastAsia"/>
          <w:bCs/>
          <w:color w:val="000000"/>
          <w:sz w:val="24"/>
        </w:rPr>
        <w:t>同时，乙方应继续执行合同中未解除的部分。</w:t>
      </w:r>
    </w:p>
    <w:p>
      <w:pPr>
        <w:ind w:firstLine="480" w:firstLineChars="200"/>
        <w:rPr>
          <w:rFonts w:ascii="宋体"/>
          <w:color w:val="000000"/>
          <w:sz w:val="24"/>
        </w:rPr>
      </w:pPr>
      <w:r>
        <w:rPr>
          <w:rFonts w:ascii="宋体" w:hint="eastAsia"/>
          <w:color w:val="000000"/>
          <w:sz w:val="24"/>
        </w:rPr>
        <w:t>（二）因破产而解除合同</w:t>
      </w:r>
    </w:p>
    <w:p>
      <w:pPr>
        <w:ind w:firstLine="480" w:firstLineChars="200"/>
        <w:rPr>
          <w:rFonts w:ascii="宋体"/>
          <w:color w:val="000000"/>
          <w:sz w:val="24"/>
        </w:rPr>
      </w:pPr>
      <w:r>
        <w:rPr>
          <w:rFonts w:ascii="宋体" w:hint="eastAsia"/>
          <w:color w:val="000000"/>
          <w:sz w:val="24"/>
        </w:rPr>
        <w:t>1.如果乙方破产或无清偿能力，甲方（用户）可在任何时候以书面形式通知乙方，提出解除合同而不给乙方补偿，并有权要求乙方退回甲方（用户）已支付的合同款项。</w:t>
      </w:r>
    </w:p>
    <w:p>
      <w:pPr>
        <w:ind w:firstLine="480" w:firstLineChars="200"/>
        <w:rPr>
          <w:rFonts w:ascii="宋体"/>
          <w:color w:val="000000"/>
          <w:sz w:val="24"/>
        </w:rPr>
      </w:pPr>
      <w:r>
        <w:rPr>
          <w:rFonts w:ascii="宋体" w:hint="eastAsia"/>
          <w:color w:val="000000"/>
          <w:sz w:val="24"/>
        </w:rPr>
        <w:t>2.该解除合同将不损害或影响甲方</w:t>
      </w:r>
      <w:r>
        <w:rPr>
          <w:rFonts w:ascii="宋体" w:cs="宋体" w:hint="eastAsia"/>
          <w:color w:val="000000"/>
          <w:sz w:val="24"/>
        </w:rPr>
        <w:t>（用户）</w:t>
      </w:r>
      <w:r>
        <w:rPr>
          <w:rFonts w:ascii="宋体" w:hint="eastAsia"/>
          <w:color w:val="000000"/>
          <w:sz w:val="24"/>
        </w:rPr>
        <w:t>已经采取或将要采取的任何行动或补救措施的权利。</w:t>
      </w:r>
    </w:p>
    <w:p>
      <w:pPr>
        <w:ind w:firstLine="480" w:firstLineChars="200"/>
        <w:rPr>
          <w:rFonts w:ascii="宋体"/>
          <w:color w:val="000000"/>
          <w:sz w:val="24"/>
        </w:rPr>
      </w:pPr>
      <w:r>
        <w:rPr>
          <w:rFonts w:ascii="宋体" w:hint="eastAsia"/>
          <w:color w:val="000000"/>
          <w:sz w:val="24"/>
        </w:rPr>
        <w:t>（三）其他解除合同情况</w:t>
      </w:r>
    </w:p>
    <w:p>
      <w:pPr>
        <w:ind w:firstLine="480" w:firstLineChars="200"/>
        <w:rPr>
          <w:rFonts w:ascii="宋体"/>
          <w:color w:val="000000"/>
          <w:sz w:val="24"/>
        </w:rPr>
      </w:pPr>
      <w:r>
        <w:rPr>
          <w:rFonts w:ascii="宋体" w:hint="eastAsia"/>
          <w:color w:val="000000"/>
          <w:sz w:val="24"/>
        </w:rPr>
        <w:t>1.若合同继续履行将给甲方造成重大损失的，甲方（用户）可以解除合同而不给予乙方任何补偿。</w:t>
      </w:r>
    </w:p>
    <w:p>
      <w:pPr>
        <w:ind w:firstLine="480" w:firstLineChars="200"/>
        <w:rPr>
          <w:rFonts w:ascii="宋体"/>
          <w:color w:val="000000"/>
          <w:sz w:val="24"/>
        </w:rPr>
      </w:pPr>
      <w:r>
        <w:rPr>
          <w:rFonts w:ascii="宋体" w:hint="eastAsia"/>
          <w:color w:val="000000"/>
          <w:sz w:val="24"/>
        </w:rPr>
        <w:t>2.乙方在执行合同的过程中发生重大变故，对履行合同有影响的，甲方（用户）可以解除合同而不给予乙方任何补偿。</w:t>
      </w:r>
    </w:p>
    <w:p>
      <w:pPr>
        <w:ind w:firstLine="480" w:firstLineChars="200"/>
        <w:rPr>
          <w:rFonts w:ascii="宋体"/>
          <w:color w:val="000000"/>
          <w:sz w:val="24"/>
        </w:rPr>
      </w:pPr>
      <w:r>
        <w:rPr>
          <w:rFonts w:ascii="宋体" w:hint="eastAsia"/>
          <w:color w:val="000000"/>
          <w:sz w:val="24"/>
        </w:rPr>
        <w:t>3.甲方（用户）因重大变故取消或部分取消原来的采购任务，导致合同全部或部分内容无需继续履行的，可以解除合同而不给予乙方任何补偿。</w:t>
      </w:r>
    </w:p>
    <w:p>
      <w:pPr>
        <w:ind w:firstLine="480" w:firstLineChars="200"/>
        <w:rPr>
          <w:rFonts w:ascii="宋体"/>
          <w:b/>
          <w:bCs/>
          <w:color w:val="000000"/>
          <w:sz w:val="24"/>
        </w:rPr>
      </w:pPr>
      <w:r>
        <w:rPr>
          <w:rFonts w:ascii="宋体" w:hint="eastAsia"/>
          <w:b/>
          <w:bCs/>
          <w:color w:val="000000"/>
          <w:sz w:val="24"/>
        </w:rPr>
        <w:t>第十九条 合同终止</w:t>
      </w:r>
    </w:p>
    <w:p>
      <w:pPr>
        <w:autoSpaceDN w:val="0"/>
        <w:spacing w:line="560" w:lineRule="exact"/>
        <w:ind w:firstLine="480" w:firstLineChars="200"/>
        <w:jc w:val="left"/>
        <w:rPr>
          <w:rFonts w:ascii="宋体" w:cs="微软雅黑"/>
          <w:snapToGrid w:val="0"/>
          <w:kern w:val="0"/>
          <w:sz w:val="24"/>
          <w:szCs w:val="24"/>
        </w:rPr>
      </w:pPr>
      <w:r>
        <w:rPr>
          <w:rFonts w:ascii="宋体" w:cs="微软雅黑" w:hint="eastAsia"/>
          <w:snapToGrid w:val="0"/>
          <w:kern w:val="0"/>
          <w:sz w:val="24"/>
          <w:szCs w:val="24"/>
        </w:rPr>
        <w:t>（一）本合同因下列原因而终止：</w:t>
      </w:r>
    </w:p>
    <w:p>
      <w:pPr>
        <w:autoSpaceDN w:val="0"/>
        <w:spacing w:line="560" w:lineRule="exact"/>
        <w:ind w:firstLine="480" w:firstLineChars="200"/>
        <w:jc w:val="left"/>
        <w:rPr>
          <w:rFonts w:ascii="宋体" w:cs="微软雅黑"/>
          <w:snapToGrid w:val="0"/>
          <w:kern w:val="0"/>
          <w:sz w:val="24"/>
          <w:szCs w:val="24"/>
        </w:rPr>
      </w:pPr>
      <w:r>
        <w:rPr>
          <w:rFonts w:ascii="宋体" w:cs="微软雅黑" w:hint="eastAsia"/>
          <w:snapToGrid w:val="0"/>
          <w:kern w:val="0"/>
          <w:sz w:val="24"/>
          <w:szCs w:val="24"/>
        </w:rPr>
        <w:t>1.本合同正常履行完毕；</w:t>
      </w:r>
    </w:p>
    <w:p>
      <w:pPr>
        <w:autoSpaceDN w:val="0"/>
        <w:spacing w:line="560" w:lineRule="exact"/>
        <w:ind w:firstLine="480" w:firstLineChars="200"/>
        <w:jc w:val="left"/>
        <w:rPr>
          <w:rFonts w:ascii="宋体" w:cs="微软雅黑"/>
          <w:snapToGrid w:val="0"/>
          <w:kern w:val="0"/>
          <w:sz w:val="24"/>
          <w:szCs w:val="24"/>
        </w:rPr>
      </w:pPr>
      <w:r>
        <w:rPr>
          <w:rFonts w:ascii="宋体" w:cs="微软雅黑" w:hint="eastAsia"/>
          <w:snapToGrid w:val="0"/>
          <w:kern w:val="0"/>
          <w:sz w:val="24"/>
          <w:szCs w:val="24"/>
        </w:rPr>
        <w:t>2.合同双方协议终止本合同的履行；</w:t>
      </w:r>
    </w:p>
    <w:p>
      <w:pPr>
        <w:autoSpaceDN w:val="0"/>
        <w:spacing w:line="560" w:lineRule="exact"/>
        <w:ind w:firstLine="480" w:firstLineChars="200"/>
        <w:jc w:val="left"/>
        <w:rPr>
          <w:rFonts w:ascii="宋体" w:cs="微软雅黑"/>
          <w:snapToGrid w:val="0"/>
          <w:kern w:val="0"/>
          <w:sz w:val="24"/>
          <w:szCs w:val="24"/>
        </w:rPr>
      </w:pPr>
      <w:r>
        <w:rPr>
          <w:rFonts w:ascii="宋体" w:cs="微软雅黑" w:hint="eastAsia"/>
          <w:snapToGrid w:val="0"/>
          <w:kern w:val="0"/>
          <w:sz w:val="24"/>
          <w:szCs w:val="24"/>
        </w:rPr>
        <w:t>3.不可抗力事件导致本合同无法履行或履行不必要；</w:t>
      </w:r>
    </w:p>
    <w:p>
      <w:pPr>
        <w:autoSpaceDN w:val="0"/>
        <w:spacing w:line="560" w:lineRule="exact"/>
        <w:ind w:firstLine="480" w:firstLineChars="200"/>
        <w:jc w:val="left"/>
        <w:rPr>
          <w:rFonts w:ascii="宋体" w:cs="微软雅黑"/>
          <w:snapToGrid w:val="0"/>
          <w:kern w:val="0"/>
          <w:sz w:val="24"/>
          <w:szCs w:val="24"/>
        </w:rPr>
      </w:pPr>
      <w:r>
        <w:rPr>
          <w:rFonts w:ascii="宋体" w:cs="微软雅黑" w:hint="eastAsia"/>
          <w:snapToGrid w:val="0"/>
          <w:kern w:val="0"/>
          <w:sz w:val="24"/>
          <w:szCs w:val="24"/>
        </w:rPr>
        <w:t>4.任何一方行使解除权，解除本合同。</w:t>
      </w:r>
    </w:p>
    <w:p>
      <w:pPr>
        <w:autoSpaceDN w:val="0"/>
        <w:spacing w:line="560" w:lineRule="exact"/>
        <w:ind w:firstLine="480" w:firstLineChars="200"/>
        <w:jc w:val="left"/>
        <w:rPr>
          <w:rFonts w:ascii="宋体" w:cs="微软雅黑"/>
          <w:snapToGrid w:val="0"/>
          <w:kern w:val="0"/>
          <w:sz w:val="24"/>
          <w:szCs w:val="24"/>
        </w:rPr>
      </w:pPr>
      <w:bookmarkStart w:id="38" w:name="孔子"/>
      <w:bookmarkEnd w:id="38"/>
      <w:r>
        <w:rPr>
          <w:rFonts w:ascii="宋体" w:cs="微软雅黑" w:hint="eastAsia"/>
          <w:snapToGrid w:val="0"/>
          <w:kern w:val="0"/>
          <w:sz w:val="24"/>
          <w:szCs w:val="24"/>
        </w:rPr>
        <w:t>（二）对本合同终止有过错的一方应赔偿另一方因合同终止而受到的损失。</w:t>
      </w:r>
    </w:p>
    <w:p>
      <w:pPr>
        <w:ind w:firstLine="480" w:firstLineChars="200"/>
        <w:rPr>
          <w:rFonts w:ascii="宋体"/>
          <w:b/>
          <w:bCs/>
          <w:color w:val="000000"/>
          <w:sz w:val="24"/>
        </w:rPr>
      </w:pPr>
      <w:r>
        <w:rPr>
          <w:rFonts w:ascii="宋体" w:hint="eastAsia"/>
          <w:b/>
          <w:bCs/>
          <w:color w:val="000000"/>
          <w:sz w:val="24"/>
        </w:rPr>
        <w:t>第二十条 合同转让和分包</w:t>
      </w:r>
    </w:p>
    <w:p>
      <w:pPr>
        <w:ind w:firstLine="480" w:firstLineChars="200"/>
        <w:rPr>
          <w:rFonts w:ascii="宋体"/>
          <w:color w:val="000000"/>
          <w:sz w:val="24"/>
        </w:rPr>
      </w:pPr>
      <w:r>
        <w:rPr>
          <w:rFonts w:ascii="宋体" w:hint="eastAsia"/>
          <w:color w:val="000000"/>
          <w:sz w:val="24"/>
        </w:rPr>
        <w:t>（一）乙方不得以任何形式将合同转包，或部分或全部转让其应履行的合同义务。</w:t>
      </w:r>
    </w:p>
    <w:p>
      <w:pPr>
        <w:ind w:firstLine="480" w:firstLineChars="200"/>
        <w:rPr>
          <w:rFonts w:ascii="宋体"/>
          <w:color w:val="000000"/>
          <w:sz w:val="24"/>
        </w:rPr>
      </w:pPr>
      <w:r>
        <w:rPr>
          <w:rFonts w:ascii="宋体" w:hint="eastAsia"/>
          <w:color w:val="000000"/>
          <w:sz w:val="24"/>
        </w:rPr>
        <w:t>（二）除经甲方（用户）事先书面同意外，乙方不得以任何形式将合同分包。</w:t>
      </w:r>
    </w:p>
    <w:p>
      <w:pPr>
        <w:ind w:firstLine="480" w:firstLineChars="200"/>
        <w:rPr>
          <w:rFonts w:ascii="宋体"/>
          <w:color w:val="000000"/>
          <w:sz w:val="24"/>
        </w:rPr>
      </w:pPr>
      <w:r>
        <w:rPr>
          <w:rFonts w:ascii="宋体" w:hint="eastAsia"/>
          <w:color w:val="000000"/>
          <w:sz w:val="24"/>
        </w:rPr>
        <w:t>乙方擅自转包或分包的，甲方有权解除本合同，没收履约保证金，并要求乙方退还已支付的全部款项，赔偿甲方（用户）全部损失及支出的合理费用。</w:t>
      </w:r>
    </w:p>
    <w:p>
      <w:pPr>
        <w:ind w:firstLine="480" w:firstLineChars="200"/>
        <w:rPr>
          <w:rFonts w:ascii="宋体"/>
          <w:b/>
          <w:bCs/>
          <w:color w:val="000000"/>
          <w:sz w:val="24"/>
        </w:rPr>
      </w:pPr>
      <w:r>
        <w:rPr>
          <w:rFonts w:ascii="宋体" w:hint="eastAsia"/>
          <w:b/>
          <w:bCs/>
          <w:color w:val="000000"/>
          <w:sz w:val="24"/>
        </w:rPr>
        <w:t>第二十一条 其他</w:t>
      </w:r>
    </w:p>
    <w:p>
      <w:pPr>
        <w:ind w:firstLine="480" w:firstLineChars="200"/>
        <w:rPr>
          <w:rFonts w:ascii="宋体"/>
          <w:color w:val="000000"/>
          <w:sz w:val="24"/>
        </w:rPr>
      </w:pPr>
      <w:r>
        <w:rPr>
          <w:rFonts w:ascii="宋体" w:hint="eastAsia"/>
          <w:color w:val="000000"/>
          <w:sz w:val="24"/>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80" w:firstLineChars="200"/>
        <w:rPr>
          <w:rFonts w:ascii="宋体"/>
          <w:b/>
          <w:bCs/>
          <w:color w:val="000000"/>
          <w:sz w:val="24"/>
        </w:rPr>
      </w:pPr>
      <w:r>
        <w:rPr>
          <w:rFonts w:ascii="宋体" w:hint="eastAsia"/>
          <w:b/>
          <w:bCs/>
          <w:color w:val="000000"/>
          <w:sz w:val="24"/>
        </w:rPr>
        <w:t>第二十二条 合同生效</w:t>
      </w:r>
    </w:p>
    <w:p>
      <w:pPr>
        <w:ind w:firstLine="480" w:firstLineChars="200"/>
        <w:rPr>
          <w:rFonts w:ascii="宋体"/>
          <w:color w:val="000000"/>
          <w:sz w:val="24"/>
        </w:rPr>
      </w:pPr>
      <w:r>
        <w:rPr>
          <w:rFonts w:ascii="宋体" w:hint="eastAsia"/>
          <w:color w:val="000000"/>
          <w:sz w:val="24"/>
        </w:rPr>
        <w:t>（一）本合同一式___份，甲方执___份，乙方执___份；自甲乙双方签字并盖章之日起生效。对本合同的任何更改及补充，均需双方共同协商，并以书面形式盖章确认。</w:t>
      </w:r>
    </w:p>
    <w:p>
      <w:pPr>
        <w:ind w:firstLine="480" w:firstLineChars="200"/>
        <w:rPr>
          <w:rFonts w:ascii="宋体"/>
          <w:color w:val="000000"/>
          <w:sz w:val="24"/>
        </w:rPr>
      </w:pPr>
      <w:r>
        <w:rPr>
          <w:rFonts w:ascii="宋体" w:hint="eastAsia"/>
          <w:color w:val="000000"/>
          <w:sz w:val="24"/>
        </w:rPr>
        <w:t>（二）本合同签订后，由海关总署（内设部门名称）执行资金支付、履约保证金收退、试运行或合同验收等合同履约一切事宜。（适用于采购中心与乙方签订合同的情形）</w:t>
      </w:r>
    </w:p>
    <w:p>
      <w:pPr>
        <w:ind w:firstLine="480" w:firstLineChars="200"/>
        <w:rPr>
          <w:rFonts w:ascii="宋体"/>
          <w:color w:val="000000"/>
          <w:sz w:val="24"/>
        </w:rPr>
      </w:pPr>
    </w:p>
    <w:p>
      <w:pPr>
        <w:ind w:firstLine="420" w:firstLineChars="200"/>
        <w:rPr>
          <w:rFonts w:hint="eastAsia"/>
          <w:color w:val="000000"/>
        </w:rPr>
      </w:pPr>
    </w:p>
    <w:p>
      <w:pPr>
        <w:ind w:firstLine="480" w:firstLineChars="200"/>
        <w:rPr>
          <w:rFonts w:ascii="宋体" w:cs="宋体" w:hint="eastAsia"/>
          <w:color w:val="000000"/>
          <w:sz w:val="24"/>
        </w:rPr>
      </w:pPr>
      <w:r>
        <w:rPr>
          <w:rFonts w:ascii="宋体" w:hint="eastAsia"/>
          <w:color w:val="000000"/>
          <w:sz w:val="24"/>
        </w:rPr>
        <w:t>附件一：</w:t>
      </w:r>
      <w:r>
        <w:rPr>
          <w:rFonts w:ascii="宋体" w:cs="宋体" w:hint="eastAsia"/>
          <w:color w:val="000000"/>
          <w:sz w:val="24"/>
          <w:lang w:bidi="ar-SA"/>
        </w:rPr>
        <w:t>项目需求书</w:t>
      </w:r>
    </w:p>
    <w:p>
      <w:pPr>
        <w:ind w:firstLine="480" w:firstLineChars="200"/>
        <w:rPr>
          <w:rFonts w:ascii="宋体" w:hint="eastAsia"/>
          <w:color w:val="000000"/>
          <w:sz w:val="24"/>
        </w:rPr>
      </w:pPr>
      <w:r>
        <w:rPr>
          <w:rFonts w:ascii="宋体" w:hint="eastAsia"/>
          <w:color w:val="000000"/>
          <w:sz w:val="24"/>
        </w:rPr>
        <w:t>附件二：分项报价表</w:t>
      </w:r>
    </w:p>
    <w:p>
      <w:pPr>
        <w:ind w:firstLine="480" w:firstLineChars="200"/>
        <w:rPr>
          <w:rFonts w:ascii="宋体" w:hint="eastAsia"/>
          <w:color w:val="000000"/>
          <w:sz w:val="24"/>
        </w:rPr>
      </w:pPr>
      <w:r>
        <w:rPr>
          <w:rFonts w:ascii="宋体" w:hint="eastAsia"/>
          <w:color w:val="000000"/>
          <w:sz w:val="24"/>
        </w:rPr>
        <w:t>附件三：</w:t>
      </w:r>
      <w:r>
        <w:rPr>
          <w:rFonts w:ascii="宋体" w:cs="宋体" w:hint="eastAsia"/>
          <w:color w:val="000000"/>
          <w:sz w:val="24"/>
          <w:lang w:bidi="ar-SA"/>
        </w:rPr>
        <w:t>政务数据安全管理承诺书</w:t>
      </w:r>
    </w:p>
    <w:p>
      <w:pPr>
        <w:ind w:firstLine="480" w:firstLineChars="200"/>
        <w:rPr>
          <w:rFonts w:ascii="宋体" w:hint="eastAsia"/>
          <w:color w:val="000000"/>
          <w:sz w:val="24"/>
        </w:rPr>
      </w:pPr>
      <w:r>
        <w:rPr>
          <w:rFonts w:ascii="宋体" w:hint="eastAsia"/>
          <w:color w:val="000000"/>
          <w:sz w:val="24"/>
        </w:rPr>
        <w:t>附件四：</w:t>
      </w:r>
      <w:r>
        <w:rPr>
          <w:rFonts w:ascii="宋体"/>
          <w:color w:val="000000"/>
          <w:sz w:val="24"/>
        </w:rPr>
        <w:t>项目相关方案</w:t>
      </w:r>
    </w:p>
    <w:p>
      <w:pPr>
        <w:ind w:firstLine="480" w:firstLineChars="200"/>
        <w:rPr>
          <w:rFonts w:ascii="宋体" w:hint="eastAsia"/>
          <w:color w:val="000000"/>
          <w:sz w:val="24"/>
        </w:rPr>
      </w:pPr>
      <w:r>
        <w:rPr>
          <w:rFonts w:ascii="宋体" w:hint="eastAsia"/>
          <w:color w:val="000000"/>
          <w:sz w:val="24"/>
        </w:rPr>
        <w:t>（附件二、四内容与投标/响应文件一致。）</w:t>
      </w:r>
    </w:p>
    <w:p>
      <w:pPr>
        <w:ind w:firstLine="480" w:firstLineChars="200"/>
        <w:rPr>
          <w:rFonts w:ascii="宋体" w:hint="eastAsia"/>
          <w:color w:val="000000"/>
          <w:sz w:val="24"/>
        </w:rPr>
      </w:pPr>
    </w:p>
    <w:p>
      <w:pPr>
        <w:ind w:firstLine="480" w:firstLineChars="200"/>
        <w:rPr>
          <w:rFonts w:ascii="宋体" w:hint="eastAsia"/>
          <w:color w:val="000000"/>
          <w:sz w:val="24"/>
        </w:rPr>
      </w:pPr>
      <w:r>
        <w:rPr>
          <w:rFonts w:ascii="宋体" w:hint="eastAsia"/>
          <w:color w:val="000000"/>
          <w:sz w:val="24"/>
        </w:rPr>
        <w:t>甲方（公章</w:t>
      </w:r>
      <w:r>
        <w:rPr>
          <w:rFonts w:ascii="宋体" w:hint="eastAsia"/>
          <w:snapToGrid w:val="0"/>
          <w:color w:val="000000"/>
          <w:sz w:val="24"/>
        </w:rPr>
        <w:t>或合同章</w:t>
      </w:r>
      <w:r>
        <w:rPr>
          <w:rFonts w:ascii="宋体" w:hint="eastAsia"/>
          <w:color w:val="000000"/>
          <w:sz w:val="24"/>
        </w:rPr>
        <w:t>）：             乙方（公章</w:t>
      </w:r>
      <w:r>
        <w:rPr>
          <w:rFonts w:ascii="宋体" w:hint="eastAsia"/>
          <w:snapToGrid w:val="0"/>
          <w:color w:val="000000"/>
          <w:sz w:val="24"/>
        </w:rPr>
        <w:t>或合同章</w:t>
      </w:r>
      <w:r>
        <w:rPr>
          <w:rFonts w:ascii="宋体" w:hint="eastAsia"/>
          <w:color w:val="000000"/>
          <w:sz w:val="24"/>
        </w:rPr>
        <w:t>）：</w:t>
      </w:r>
    </w:p>
    <w:p>
      <w:pPr>
        <w:ind w:firstLine="480" w:firstLineChars="200"/>
        <w:rPr>
          <w:rFonts w:ascii="宋体" w:hint="eastAsia"/>
          <w:color w:val="000000"/>
          <w:sz w:val="24"/>
        </w:rPr>
      </w:pPr>
      <w:r>
        <w:rPr>
          <w:rFonts w:ascii="宋体" w:hint="eastAsia"/>
          <w:color w:val="000000"/>
          <w:sz w:val="24"/>
        </w:rPr>
        <w:t>法定代表人                        法定代表人</w:t>
      </w:r>
    </w:p>
    <w:p>
      <w:pPr>
        <w:ind w:firstLine="480" w:firstLineChars="200"/>
        <w:rPr>
          <w:rFonts w:ascii="宋体" w:hint="eastAsia"/>
          <w:color w:val="000000"/>
          <w:sz w:val="24"/>
        </w:rPr>
      </w:pPr>
      <w:r>
        <w:rPr>
          <w:rFonts w:ascii="宋体" w:hint="eastAsia"/>
          <w:color w:val="000000"/>
          <w:sz w:val="24"/>
        </w:rPr>
        <w:t>或授权签字人（签字）：             或授权签字人（签字）：</w:t>
      </w:r>
    </w:p>
    <w:p>
      <w:pPr>
        <w:ind w:firstLine="480" w:firstLineChars="200"/>
        <w:rPr>
          <w:rFonts w:ascii="宋体" w:hint="eastAsia"/>
          <w:color w:val="000000"/>
          <w:sz w:val="24"/>
        </w:rPr>
      </w:pPr>
    </w:p>
    <w:p>
      <w:pPr>
        <w:ind w:firstLine="480" w:firstLineChars="200"/>
        <w:rPr>
          <w:rFonts w:ascii="宋体" w:hint="eastAsia"/>
          <w:color w:val="000000"/>
          <w:sz w:val="24"/>
        </w:rPr>
      </w:pPr>
      <w:r>
        <w:rPr>
          <w:rFonts w:ascii="宋体" w:hint="eastAsia"/>
          <w:color w:val="000000"/>
          <w:sz w:val="24"/>
        </w:rPr>
        <w:t xml:space="preserve">日期： 年  月  日                 日期：   年   月   日    </w:t>
      </w:r>
    </w:p>
    <w:p>
      <w:pPr>
        <w:ind w:firstLine="480" w:firstLineChars="200"/>
        <w:rPr>
          <w:rFonts w:ascii="宋体" w:hint="eastAsia"/>
          <w:color w:val="000000"/>
          <w:sz w:val="24"/>
        </w:rPr>
      </w:pPr>
      <w:r>
        <w:rPr>
          <w:rFonts w:ascii="宋体" w:hint="eastAsia"/>
          <w:color w:val="000000"/>
          <w:sz w:val="24"/>
        </w:rPr>
        <w:t>联系人:                            联系人：</w:t>
      </w:r>
    </w:p>
    <w:p>
      <w:pPr>
        <w:ind w:firstLine="480" w:firstLineChars="200"/>
        <w:rPr>
          <w:rFonts w:ascii="宋体" w:hint="eastAsia"/>
          <w:color w:val="000000"/>
          <w:sz w:val="24"/>
        </w:rPr>
      </w:pPr>
      <w:r>
        <w:rPr>
          <w:rFonts w:ascii="宋体" w:hint="eastAsia"/>
          <w:color w:val="000000"/>
          <w:sz w:val="24"/>
        </w:rPr>
        <w:t>电话:                              电话：</w:t>
      </w:r>
    </w:p>
    <w:p>
      <w:pPr>
        <w:ind w:firstLine="480" w:firstLineChars="200"/>
        <w:rPr>
          <w:rFonts w:ascii="宋体" w:hint="eastAsia"/>
          <w:color w:val="000000"/>
          <w:sz w:val="24"/>
        </w:rPr>
      </w:pPr>
      <w:r>
        <w:rPr>
          <w:rFonts w:ascii="宋体" w:hint="eastAsia"/>
          <w:color w:val="000000"/>
          <w:sz w:val="24"/>
        </w:rPr>
        <w:t>地址：                             地址：</w:t>
      </w:r>
    </w:p>
    <w:p>
      <w:pPr>
        <w:ind w:firstLine="480" w:firstLineChars="200"/>
        <w:rPr>
          <w:rFonts w:ascii="宋体" w:hint="eastAsia"/>
          <w:snapToGrid w:val="0"/>
          <w:color w:val="000000"/>
          <w:sz w:val="24"/>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60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6110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6710"/>
        <w:spacing w:line="600" w:lineRule="exact"/>
        <w:jc w:val="center"/>
        <w:rPr>
          <w:rFonts w:ascii="方正小标宋_GBK" w:eastAsia="方正小标宋_GBK" w:hint="eastAsia"/>
          <w:sz w:val="32"/>
          <w:szCs w:val="32"/>
        </w:rPr>
      </w:pPr>
      <w:r>
        <w:rPr>
          <w:rFonts w:ascii="方正小标宋_GBK" w:eastAsia="方正小标宋_GBK" w:hint="eastAsia"/>
          <w:sz w:val="32"/>
          <w:szCs w:val="32"/>
        </w:rPr>
        <w:t>政务数据安全管理承诺书</w:t>
      </w:r>
    </w:p>
    <w:p>
      <w:pPr>
        <w:pStyle w:val="6710"/>
        <w:spacing w:line="560" w:lineRule="exact"/>
        <w:rPr>
          <w:rFonts w:hint="eastAsia"/>
          <w:sz w:val="24"/>
          <w:szCs w:val="24"/>
        </w:rPr>
      </w:pPr>
      <w:r>
        <w:rPr>
          <w:rFonts w:ascii="宋体" w:hint="eastAsia"/>
          <w:sz w:val="24"/>
          <w:szCs w:val="24"/>
        </w:rPr>
        <w:t xml:space="preserve">  </w:t>
      </w:r>
      <w:r>
        <w:rPr>
          <w:rFonts w:ascii="方正仿宋_GBK" w:eastAsia="方正仿宋_GBK" w:hint="eastAsia"/>
          <w:sz w:val="32"/>
          <w:szCs w:val="32"/>
        </w:rPr>
        <w:t xml:space="preserve">  </w:t>
      </w:r>
      <w:r>
        <w:rPr>
          <w:rFonts w:hint="eastAsia"/>
          <w:sz w:val="24"/>
          <w:szCs w:val="24"/>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hint="eastAsia"/>
          <w:sz w:val="24"/>
          <w:szCs w:val="24"/>
        </w:rPr>
      </w:pPr>
      <w:r>
        <w:rPr>
          <w:rFonts w:hint="eastAsia"/>
          <w:sz w:val="24"/>
          <w:szCs w:val="24"/>
        </w:rPr>
        <w:t xml:space="preserve">    二、乙方承诺不将其承包的项目全部转包，不将中标项目支解后分别向其他企业或者个人转让，不将项目主体和关键部分分包。</w:t>
      </w:r>
    </w:p>
    <w:p>
      <w:pPr>
        <w:pStyle w:val="6710"/>
        <w:spacing w:line="560" w:lineRule="exact"/>
        <w:rPr>
          <w:rFonts w:hint="eastAsia"/>
          <w:sz w:val="24"/>
          <w:szCs w:val="24"/>
        </w:rPr>
      </w:pPr>
      <w:r>
        <w:rPr>
          <w:rFonts w:hint="eastAsia"/>
          <w:sz w:val="24"/>
          <w:szCs w:val="24"/>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hint="eastAsia"/>
          <w:sz w:val="24"/>
          <w:szCs w:val="24"/>
        </w:rPr>
      </w:pPr>
      <w:r>
        <w:rPr>
          <w:rFonts w:hint="eastAsia"/>
          <w:sz w:val="24"/>
          <w:szCs w:val="24"/>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hint="eastAsia"/>
          <w:sz w:val="24"/>
          <w:szCs w:val="24"/>
        </w:rPr>
      </w:pPr>
      <w:r>
        <w:rPr>
          <w:rFonts w:hint="eastAsia"/>
          <w:sz w:val="24"/>
          <w:szCs w:val="24"/>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jc w:val="right"/>
        <w:rPr>
          <w:rFonts w:hint="eastAsia"/>
          <w:sz w:val="24"/>
          <w:szCs w:val="24"/>
        </w:rPr>
      </w:pPr>
      <w:r>
        <w:rPr>
          <w:rFonts w:hint="eastAsia"/>
          <w:sz w:val="24"/>
          <w:szCs w:val="24"/>
        </w:rPr>
        <w:t>乙方：XX公司</w:t>
      </w:r>
    </w:p>
    <w:p>
      <w:pPr>
        <w:pStyle w:val="61100"/>
        <w:tabs>
          <w:tab w:val="left" w:pos="2760"/>
        </w:tabs>
        <w:spacing w:line="560" w:lineRule="exact"/>
        <w:ind w:firstLine="3960" w:firstLineChars="1650"/>
        <w:jc w:val="left"/>
        <w:rPr>
          <w:rFonts w:ascii="宋体" w:hint="eastAsia"/>
          <w:b/>
          <w:snapToGrid w:val="0"/>
          <w:kern w:val="0"/>
          <w:sz w:val="24"/>
          <w:szCs w:val="24"/>
        </w:rPr>
      </w:pPr>
      <w:r>
        <w:rPr>
          <w:rFonts w:ascii="宋体" w:hint="eastAsia"/>
          <w:sz w:val="24"/>
          <w:szCs w:val="24"/>
        </w:rPr>
        <w:t>乙方法定代表人：（签字）</w:t>
      </w:r>
    </w:p>
    <w:p>
      <w:pPr>
        <w:pStyle w:val="6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附件四：项目相关方案</w:t>
      </w:r>
    </w:p>
    <w:p>
      <w:pPr>
        <w:pStyle w:val="4410"/>
        <w:tabs>
          <w:tab w:val="left" w:pos="2760"/>
        </w:tabs>
        <w:spacing w:line="560" w:lineRule="exact"/>
        <w:jc w:val="center"/>
        <w:rPr>
          <w:rFonts w:ascii="宋体"/>
          <w:color w:val="000000"/>
          <w:sz w:val="24"/>
        </w:rPr>
      </w:pPr>
      <w:r>
        <w:rPr>
          <w:rFonts w:eastAsia="方正仿宋_GBK"/>
          <w:b/>
          <w:sz w:val="32"/>
          <w:szCs w:val="32"/>
        </w:rPr>
        <w:br w:type="page"/>
      </w:r>
      <w:bookmarkStart w:id="39" w:name="_Toc65406668"/>
      <w:bookmarkEnd w:id="37"/>
      <w:r>
        <w:rPr>
          <w:rFonts w:hint="eastAsia"/>
          <w:b/>
          <w:kern w:val="44"/>
          <w:sz w:val="30"/>
          <w:szCs w:val="24"/>
          <w:highlight w:val="white"/>
          <w:shd w:val="clear" w:color="auto" w:fill="auto"/>
        </w:rPr>
        <w:t>第六部分  投标文件格式</w:t>
      </w:r>
      <w:bookmarkEnd w:id="3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40"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41" w:name="_Ref462505451"/>
      <w:bookmarkStart w:id="42"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41"/>
      <w:bookmarkEnd w:id="42"/>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43" w:name="_Toc499068169"/>
      <w:bookmarkStart w:id="44" w:name="_Toc485990833"/>
      <w:bookmarkStart w:id="45" w:name="_Toc46196323"/>
      <w:r>
        <w:rPr>
          <w:rFonts w:ascii="宋体" w:eastAsia="宋体" w:hint="eastAsia"/>
          <w:szCs w:val="32"/>
          <w:lang w:eastAsia="zh-CN"/>
        </w:rPr>
        <w:t>投标函</w:t>
      </w:r>
      <w:bookmarkEnd w:id="43"/>
      <w:bookmarkEnd w:id="44"/>
      <w:bookmarkEnd w:id="45"/>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46" w:name="_Toc499068185"/>
      <w:bookmarkStart w:id="47" w:name="_Toc485990851"/>
      <w:r>
        <w:rPr>
          <w:rFonts w:ascii="宋体" w:eastAsia="宋体" w:hint="eastAsia"/>
          <w:szCs w:val="32"/>
          <w:lang w:eastAsia="zh-CN"/>
        </w:rPr>
        <w:t>技术偏离表</w:t>
      </w:r>
      <w:bookmarkEnd w:id="46"/>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47"/>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48" w:name="_Toc499068185_0"/>
      <w:r>
        <w:rPr>
          <w:rFonts w:ascii="宋体" w:eastAsia="宋体" w:hint="eastAsia"/>
          <w:szCs w:val="32"/>
          <w:lang w:eastAsia="zh-CN"/>
        </w:rPr>
        <w:t>技术偏离表</w:t>
      </w:r>
      <w:bookmarkEnd w:id="48"/>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个月任意1个月的缴纳社保证明（未提供的不予认定）</w:t>
      </w:r>
      <w:r>
        <w:rPr>
          <w:rFonts w:ascii="宋体"/>
          <w:color w:val="000000"/>
          <w:sz w:val="22"/>
        </w:rPr>
        <w:t>。</w:t>
      </w:r>
      <w:r>
        <w:rPr>
          <w:rFonts w:ascii="宋体" w:hint="eastAsia"/>
          <w:color w:val="000000"/>
          <w:sz w:val="22"/>
        </w:rPr>
        <w:t xml:space="preserve">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tabs>
          <w:tab w:val="left" w:pos="588"/>
        </w:tabs>
        <w:autoSpaceDN w:val="0"/>
        <w:spacing w:line="360" w:lineRule="auto"/>
        <w:rPr>
          <w:rFonts w:ascii="宋体" w:hint="eastAsia"/>
        </w:rPr>
      </w:pPr>
      <w:bookmarkEnd w:id="40"/>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Batang">
    <w:altName w:val="方正小标宋简体"/>
    <w:panose1 w:val="02030600000101010101"/>
    <w:charset w:val="81"/>
    <w:family w:val="roman"/>
    <w:pitch w:val="variable"/>
    <w:sig w:usb0="B00002AF" w:usb1="69D77CFB" w:usb2="00000030" w:usb3="00000000" w:csb0="0008009F" w:csb1="00000000"/>
  </w:font>
  <w:font w:name="Calibri">
    <w:altName w:val="Times New Roman"/>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roman"/>
    <w:pitch w:val="variable"/>
    <w:sig w:usb0="A00002BF" w:usb1="38CF7CFA" w:usb2="00000016" w:usb3="00000000" w:csb0="0004000F"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altName w:val="方正小标宋简体"/>
    <w:panose1 w:val="020B0503020204020204"/>
    <w:charset w:val="86"/>
    <w:family w:val="swiss"/>
    <w:pitch w:val="variable"/>
    <w:sig w:usb0="80000287" w:usb1="280F3C52" w:usb2="00000016" w:usb3="00000000" w:csb0="0004001F" w:csb1="00000000"/>
  </w:font>
  <w:font w:name="方正仿宋_GBK">
    <w:altName w:val="Microsoft YaHei UI"/>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方正小标宋_GBK">
    <w:altName w:val="Microsoft YaHei UI"/>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modern"/>
    <w:pitch w:val="variable"/>
    <w:sig w:usb0="800002BF" w:usb1="38CF7CFA" w:usb2="00000016" w:usb3="00000000" w:csb0="00040001" w:csb1="00000000"/>
  </w:font>
  <w:font w:name="Garamond">
    <w:altName w:val="DejaVu Sans"/>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altName w:val="方正黑体_GBK"/>
    <w:panose1 w:val="020B0604020202020204"/>
    <w:charset w:val="86"/>
    <w:family w:val="swiss"/>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altName w:val="DejaVu Sans"/>
    <w:panose1 w:val="020B0604030504040204"/>
    <w:charset w:val="00"/>
    <w:family w:val="swiss"/>
    <w:pitch w:val="variable"/>
    <w:sig w:usb0="A10006FF" w:usb1="4000205B" w:usb2="00000010" w:usb3="00000000" w:csb0="2000019F" w:csb1="00000000"/>
  </w:font>
  <w:font w:name="Tahoma">
    <w:altName w:val="DejaVu Sans"/>
    <w:panose1 w:val="020B0604030504040204"/>
    <w:charset w:val="00"/>
    <w:family w:val="swiss"/>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Mongolian Baiti">
    <w:altName w:val="DejaVu Sans"/>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altName w:val="DejaVu Sans"/>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Wingdings">
    <w:altName w:val="DejaVu Sans"/>
    <w:panose1 w:val="05000000000000000000"/>
    <w:charset w:val="02"/>
    <w:family w:val="auto"/>
    <w:pitch w:val="variable"/>
    <w:sig w:usb0="00000000" w:usb1="00000000" w:usb2="00000000" w:usb3="00000000" w:csb0="80000000" w:csb1="00000000"/>
  </w:font>
  <w:font w:name="Symbol">
    <w:altName w:val="DejaVu Sans"/>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center" w:pos="7143"/>
        <w:tab w:val="right" w:pos="8306"/>
        <w:tab w:val="right" w:pos="14287"/>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Footer"/>
      <w:framePr w:w="0" w:h="0" w:hRule="auto" w:wrap="around" w:vAnchor="text" w:hAnchor="margin" w:xAlign="center" w:y="1" w:anchorLock="0"/>
      <w:tabs>
        <w:tab w:val="center" w:pos="4153"/>
        <w:tab w:val="center" w:pos="7143"/>
        <w:tab w:val="right" w:pos="8306"/>
        <w:tab w:val="right" w:pos="14287"/>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Footer"/>
      <w:framePr w:w="0" w:h="0" w:hRule="auto" w:wrap="around" w:vAnchor="text" w:hAnchor="margin" w:xAlign="center" w:y="1" w:anchorLock="0"/>
      <w:tabs>
        <w:tab w:val="center" w:pos="4153"/>
        <w:tab w:val="center" w:pos="7143"/>
        <w:tab w:val="right" w:pos="8306"/>
        <w:tab w:val="right" w:pos="14287"/>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framePr w:w="0" w:h="0" w:hRule="auto" w:wrap="around" w:vAnchor="text" w:hAnchor="margin" w:xAlign="center" w:y="1" w:anchorLock="0"/>
      <w:tabs>
        <w:tab w:val="center" w:pos="7143"/>
        <w:tab w:val="right" w:pos="14287"/>
      </w:tabs>
    </w:pPr>
    <w:r>
      <w:fldChar w:fldCharType="begin"/>
    </w:r>
    <w:r>
      <w:instrText>Page</w:instrText>
    </w:r>
    <w:r>
      <w:fldChar w:fldCharType="separate"/>
    </w:r>
    <w:r>
      <w:t>1</w:t>
    </w:r>
    <w:r>
      <w:fldChar w:fldCharType="end"/>
    </w:r>
  </w:p>
  <w:p>
    <w:pPr>
      <w:tabs>
        <w:tab w:val="center" w:pos="7143"/>
        <w:tab w:val="right" w:pos="14287"/>
      </w:tabs>
    </w:pPr>
  </w:p>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center" w:pos="7143"/>
        <w:tab w:val="right" w:pos="8306"/>
        <w:tab w:val="right" w:pos="14287"/>
      </w:tabs>
    </w:pPr>
  </w:p>
  <w:p>
    <w:pPr>
      <w:pStyle w:val="Footer"/>
      <w:framePr w:w="0" w:h="0" w:hRule="auto" w:wrap="around" w:vAnchor="text" w:hAnchor="margin" w:xAlign="center" w:y="1" w:anchorLock="0"/>
      <w:tabs>
        <w:tab w:val="center" w:pos="4153"/>
        <w:tab w:val="center" w:pos="7143"/>
        <w:tab w:val="right" w:pos="8306"/>
        <w:tab w:val="right" w:pos="14287"/>
      </w:tabs>
      <w:rPr>
        <w:rFonts w:eastAsia="宋体"/>
      </w:rPr>
    </w:pPr>
  </w:p>
  <w:p>
    <w:pPr>
      <w:pStyle w:val="Footer"/>
      <w:framePr w:w="0" w:h="0" w:hRule="auto" w:wrap="around" w:vAnchor="text" w:hAnchor="margin" w:xAlign="center" w:y="1" w:anchorLock="0"/>
      <w:tabs>
        <w:tab w:val="center" w:pos="4153"/>
        <w:tab w:val="center" w:pos="7143"/>
        <w:tab w:val="right" w:pos="8306"/>
        <w:tab w:val="right" w:pos="14287"/>
      </w:tabs>
      <w:jc w:val="center"/>
      <w:rPr>
        <w:rFonts w:ascii="Batang" w:eastAsia="宋体" w:hAnsi="Batang"/>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Page</w:instrText>
    </w:r>
    <w:r>
      <w:rPr>
        <w:rStyle w:val="PageNumber"/>
        <w:rFonts w:ascii="Batang" w:eastAsia="Batang" w:hint="eastAsia"/>
        <w:sz w:val="28"/>
        <w:szCs w:val="28"/>
      </w:rPr>
      <w:fldChar w:fldCharType="separate"/>
    </w:r>
    <w:r>
      <w:rPr>
        <w:rStyle w:val="PageNumber"/>
        <w:rFonts w:ascii="Batang" w:eastAsia="Batang"/>
        <w:sz w:val="28"/>
        <w:szCs w:val="28"/>
      </w:rPr>
      <w:t>3</w:t>
    </w:r>
    <w:r>
      <w:rPr>
        <w:rStyle w:val="PageNumber"/>
        <w:rFonts w:ascii="Batang" w:eastAsia="Batang" w:hint="eastAsia"/>
        <w:sz w:val="28"/>
        <w:szCs w:val="28"/>
      </w:rPr>
      <w:fldChar w:fldCharType="end"/>
    </w:r>
  </w:p>
  <w:p>
    <w:pPr>
      <w:tabs>
        <w:tab w:val="center" w:pos="7143"/>
        <w:tab w:val="right" w:pos="14287"/>
      </w:tabs>
    </w:pPr>
  </w:p>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675F36F"/>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4">
    <w:nsid w:val="00000004"/>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5">
    <w:nsid w:val="00000005"/>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6"/>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7"/>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8">
    <w:nsid w:val="00000008"/>
    <w:multiLevelType w:val="singleLevel"/>
    <w:tmpl w:val="00000000"/>
    <w:lvl w:ilvl="0">
      <w:start w:val="1"/>
      <w:numFmt w:val="decimal"/>
      <w:lvlText w:val="%1."/>
      <w:lvlJc w:val="left"/>
      <w:pPr>
        <w:tabs>
          <w:tab w:val="num" w:pos="1200"/>
        </w:tabs>
        <w:ind w:left="1200" w:hanging="360"/>
      </w:pPr>
    </w:lvl>
  </w:abstractNum>
  <w:abstractNum w:abstractNumId="9">
    <w:nsid w:val="00000009"/>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0000000A"/>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11">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3">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6">
    <w:nsid w:val="00000010"/>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9">
    <w:nsid w:val="00000013"/>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20">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21">
    <w:nsid w:val="0FFFFF7D"/>
    <w:multiLevelType w:val="singleLevel"/>
    <w:tmpl w:val="00000000"/>
    <w:lvl w:ilvl="0">
      <w:start w:val="1"/>
      <w:numFmt w:val="decimal"/>
      <w:pStyle w:val="Index9"/>
      <w:lvlText w:val="%1."/>
      <w:lvlJc w:val="left"/>
      <w:pPr>
        <w:tabs>
          <w:tab w:val="num" w:pos="1620"/>
        </w:tabs>
        <w:ind w:left="1620" w:hanging="360"/>
      </w:pPr>
    </w:lvl>
  </w:abstractNum>
  <w:abstractNum w:abstractNumId="22">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23">
    <w:nsid w:val="0FFFFF81"/>
    <w:multiLevelType w:val="singleLevel"/>
    <w:tmpl w:val="00000000"/>
    <w:lvl w:ilvl="0">
      <w:start w:val="1"/>
      <w:numFmt w:val="bullet"/>
      <w:pStyle w:val="ListNumber5"/>
      <w:lvlText w:val=""/>
      <w:lvlJc w:val="left"/>
      <w:pPr>
        <w:tabs>
          <w:tab w:val="num" w:pos="1620"/>
        </w:tabs>
        <w:ind w:left="1620" w:hanging="360"/>
      </w:pPr>
      <w:rPr>
        <w:rFonts w:ascii="Wingdings" w:hAnsi="Wingdings" w:hint="default"/>
      </w:rPr>
    </w:lvl>
  </w:abstractNum>
  <w:abstractNum w:abstractNumId="24">
    <w:nsid w:val="0FFFFF82"/>
    <w:multiLevelType w:val="singleLevel"/>
    <w:tmpl w:val="00000000"/>
    <w:lvl w:ilvl="0">
      <w:start w:val="1"/>
      <w:numFmt w:val="bullet"/>
      <w:pStyle w:val="Subtitle"/>
      <w:lvlText w:val=""/>
      <w:lvlJc w:val="left"/>
      <w:pPr>
        <w:tabs>
          <w:tab w:val="num" w:pos="1200"/>
        </w:tabs>
        <w:ind w:left="1200" w:hanging="360"/>
      </w:pPr>
      <w:rPr>
        <w:rFonts w:ascii="Wingdings" w:hAnsi="Wingdings" w:hint="default"/>
      </w:rPr>
    </w:lvl>
  </w:abstractNum>
  <w:abstractNum w:abstractNumId="25">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6">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7">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num w:numId="1">
    <w:abstractNumId w:val="19"/>
  </w:num>
  <w:num w:numId="2">
    <w:abstractNumId w:val="27"/>
  </w:num>
  <w:num w:numId="3">
    <w:abstractNumId w:val="4"/>
  </w:num>
  <w:num w:numId="4">
    <w:abstractNumId w:val="5"/>
  </w:num>
  <w:num w:numId="5">
    <w:abstractNumId w:val="6"/>
  </w:num>
  <w:num w:numId="6">
    <w:abstractNumId w:val="7"/>
  </w:num>
  <w:num w:numId="7">
    <w:abstractNumId w:val="8"/>
  </w:num>
  <w:num w:numId="8">
    <w:abstractNumId w:val="9"/>
  </w:num>
  <w:num w:numId="9">
    <w:abstractNumId w:val="10"/>
  </w:num>
  <w:num w:numId="10">
    <w:abstractNumId w:val="0"/>
  </w:num>
  <w:num w:numId="11">
    <w:abstractNumId w:val="3"/>
  </w:num>
  <w:num w:numId="12">
    <w:abstractNumId w:val="1"/>
  </w:num>
  <w:num w:numId="13">
    <w:abstractNumId w:val="25"/>
  </w:num>
  <w:num w:numId="14">
    <w:abstractNumId w:val="11"/>
  </w:num>
  <w:num w:numId="15">
    <w:abstractNumId w:val="12"/>
  </w:num>
  <w:num w:numId="16">
    <w:abstractNumId w:val="13"/>
  </w:num>
  <w:num w:numId="17">
    <w:abstractNumId w:val="2"/>
  </w:num>
  <w:num w:numId="18">
    <w:abstractNumId w:val="14"/>
  </w:num>
  <w:num w:numId="19">
    <w:abstractNumId w:val="15"/>
  </w:num>
  <w:num w:numId="20">
    <w:abstractNumId w:val="26"/>
  </w:num>
  <w:num w:numId="21">
    <w:abstractNumId w:val="16"/>
  </w:num>
  <w:num w:numId="22">
    <w:abstractNumId w:val="17"/>
  </w:num>
  <w:num w:numId="23">
    <w:abstractNumId w:val="18"/>
  </w:num>
  <w:num w:numId="24">
    <w:abstractNumId w:val="20"/>
  </w:num>
  <w:num w:numId="25">
    <w:abstractNumId w:val="24"/>
  </w:num>
  <w:num w:numId="26">
    <w:abstractNumId w:val="23"/>
  </w:num>
  <w:num w:numId="27">
    <w:abstractNumId w:val="22"/>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96"/>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9"/>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1"/>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2"/>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4"/>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5"/>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6"/>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5"/>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18"/>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19"/>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9"/>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2"/>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3"/>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4"/>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10311">
    <w:name w:val="正文_103"/>
    <w:pPr>
      <w:widowControl w:val="0"/>
      <w:jc w:val="both"/>
    </w:pPr>
    <w:rPr>
      <w:rFonts w:ascii="Times New Roman" w:eastAsia="方正仿宋_GBK" w:hAnsi="Times New Roman" w:cs="Times New Roman"/>
      <w:kern w:val="2"/>
      <w:sz w:val="32"/>
      <w:lang w:val="en-US" w:eastAsia="zh-CN" w:bidi="ar-SA"/>
    </w:rPr>
  </w:style>
  <w:style w:type="paragraph" w:customStyle="1" w:styleId="2313">
    <w:name w:val="正文_23"/>
    <w:pPr>
      <w:widowControl w:val="0"/>
      <w:jc w:val="both"/>
    </w:pPr>
    <w:rPr>
      <w:rFonts w:ascii="Times New Roman" w:eastAsia="方正仿宋_GBK" w:hAnsi="Times New Roman" w:cs="Times New Roman"/>
      <w:kern w:val="2"/>
      <w:sz w:val="32"/>
      <w:lang w:val="en-US" w:eastAsia="zh-CN" w:bidi="ar-SA"/>
    </w:rPr>
  </w:style>
  <w:style w:type="paragraph" w:customStyle="1" w:styleId="2190">
    <w:name w:val="样式 2 三号_19"/>
    <w:pPr>
      <w:widowControl w:val="0"/>
      <w:jc w:val="both"/>
    </w:pPr>
    <w:rPr>
      <w:rFonts w:ascii="Times New Roman" w:eastAsia="方正仿宋_GBK" w:hAnsi="Times New Roman" w:cs="Times New Roman"/>
      <w:kern w:val="2"/>
      <w:sz w:val="32"/>
      <w:lang w:val="en-US" w:eastAsia="zh-CN" w:bidi="ar-SA"/>
    </w:rPr>
  </w:style>
  <w:style w:type="paragraph" w:customStyle="1" w:styleId="10114">
    <w:name w:val="正文_101"/>
    <w:pPr>
      <w:widowControl w:val="0"/>
      <w:jc w:val="both"/>
    </w:pPr>
    <w:rPr>
      <w:rFonts w:ascii="Times New Roman" w:eastAsia="方正仿宋_GBK" w:hAnsi="Times New Roman" w:cs="Times New Roman"/>
      <w:kern w:val="2"/>
      <w:sz w:val="32"/>
      <w:lang w:val="en-US" w:eastAsia="zh-CN" w:bidi="ar-SA"/>
    </w:rPr>
  </w:style>
  <w:style w:type="paragraph" w:customStyle="1" w:styleId="2171">
    <w:name w:val="样式 2 三号_17"/>
    <w:pPr>
      <w:widowControl w:val="0"/>
      <w:jc w:val="both"/>
    </w:pPr>
    <w:rPr>
      <w:rFonts w:ascii="Times New Roman" w:eastAsia="方正仿宋_GBK" w:hAnsi="Times New Roman" w:cs="Times New Roman"/>
      <w:kern w:val="2"/>
      <w:sz w:val="32"/>
      <w:lang w:val="en-US" w:eastAsia="zh-CN" w:bidi="ar-SA"/>
    </w:rPr>
  </w:style>
  <w:style w:type="paragraph" w:customStyle="1" w:styleId="6014">
    <w:name w:val="正文_60"/>
    <w:pPr>
      <w:widowControl w:val="0"/>
      <w:jc w:val="both"/>
    </w:pPr>
    <w:rPr>
      <w:rFonts w:ascii="Times New Roman" w:eastAsia="方正仿宋_GBK" w:hAnsi="Times New Roman" w:cs="Times New Roman"/>
      <w:kern w:val="2"/>
      <w:sz w:val="32"/>
      <w:lang w:val="en-US" w:eastAsia="zh-CN" w:bidi="ar-SA"/>
    </w:rPr>
  </w:style>
  <w:style w:type="paragraph" w:customStyle="1" w:styleId="6612">
    <w:name w:val="正文_66"/>
    <w:pPr>
      <w:widowControl w:val="0"/>
      <w:jc w:val="both"/>
    </w:pPr>
    <w:rPr>
      <w:rFonts w:ascii="Times New Roman" w:eastAsia="方正仿宋_GBK" w:hAnsi="Times New Roman" w:cs="Times New Roman"/>
      <w:kern w:val="2"/>
      <w:sz w:val="32"/>
      <w:lang w:val="en-US" w:eastAsia="zh-CN" w:bidi="ar-SA"/>
    </w:rPr>
  </w:style>
  <w:style w:type="paragraph" w:styleId="Index7">
    <w:name w:val="index 7"/>
    <w:basedOn w:val="Normal"/>
    <w:next w:val="Normal"/>
    <w:autoRedefine/>
    <w:pPr>
      <w:ind w:left="2520"/>
    </w:pPr>
  </w:style>
  <w:style w:type="character" w:styleId="LineNumber">
    <w:name w:val="line number"/>
    <w:basedOn w:val="DefaultParagraphFont"/>
  </w:style>
  <w:style w:type="character" w:styleId="EndnoteReference">
    <w:name w:val="endnote reference"/>
    <w:basedOn w:val="DefaultParagraphFont"/>
    <w:rPr>
      <w:vertAlign w:val="superscript"/>
    </w:rPr>
  </w:style>
  <w:style w:type="paragraph" w:customStyle="1" w:styleId="201710">
    <w:name w:val="样式 2017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4.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14093540</TotalTime>
  <Pages>74</Pages>
  <Words>43030</Words>
  <Characters>45148</Characters>
  <Application>Microsoft Office Word</Application>
  <DocSecurity>0</DocSecurity>
  <Lines>4369</Lines>
  <Paragraphs>2766</Paragraphs>
  <ScaleCrop>false</ScaleCrop>
  <Company>ms</Company>
  <LinksUpToDate>false</LinksUpToDate>
  <CharactersWithSpaces>46743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6</cp:revision>
  <cp:lastPrinted>2020-06-24T09:06:00Z</cp:lastPrinted>
  <dcterms:created xsi:type="dcterms:W3CDTF">2021-11-24T16:33:00Z</dcterms:created>
  <dcterms:modified xsi:type="dcterms:W3CDTF">2024-11-29T07:49:46Z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