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CG2024-WT-GK-HW-054-C01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中国电子口岸数据中心2024年职工食堂食品采购项目</w:t>
      </w:r>
      <w:bookmarkEnd w:id="1"/>
      <w:r>
        <w:rPr>
          <w:rFonts w:ascii="宋体"/>
          <w:color w:val="0000FF"/>
          <w:sz w:val="32"/>
        </w:rPr>
        <w:t>（重新招标）</w:t>
      </w:r>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2024年09月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中国电子口岸数据中心2024年职工食堂食品采购项目</w:t>
      </w:r>
      <w:bookmarkEnd w:id="5"/>
      <w:r>
        <w:rPr>
          <w:rFonts w:ascii="宋体"/>
          <w:b/>
          <w:bCs/>
          <w:color w:val="0000FF"/>
          <w:sz w:val="24"/>
        </w:rPr>
        <w:t>（重新招标）</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CG2024-WT-GK-HW-054-C01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中国电子口岸数据中心2024年职工食堂食品采购项目</w:t>
      </w:r>
      <w:bookmarkEnd w:id="7"/>
      <w:r>
        <w:rPr>
          <w:rFonts w:ascii="宋体"/>
          <w:b/>
          <w:bCs/>
          <w:color w:val="0000FF"/>
          <w:sz w:val="24"/>
        </w:rPr>
        <w:t>（重新招标</w:t>
      </w:r>
      <w:r>
        <w:rPr>
          <w:rFonts w:ascii="宋体"/>
          <w:b/>
          <w:bCs/>
          <w:color w:val="0000FF"/>
          <w:sz w:val="24"/>
        </w:rPr>
        <w:t>）</w:t>
      </w:r>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本项目预算金额合计总金额人民币1,300,000.00元，其中包1人民币1,300,000.00元。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Normal"/>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jc w:val="center"/>
          <w:tblLayout w:type="fixed"/>
          <w:tblCellMar>
            <w:top w:w="0" w:type="dxa"/>
            <w:left w:w="108" w:type="dxa"/>
            <w:bottom w:w="0" w:type="dxa"/>
            <w:right w:w="108" w:type="dxa"/>
          </w:tblCellMar>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00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职工食堂食品</w:t>
            </w:r>
          </w:p>
        </w:tc>
        <w:tc>
          <w:tcPr>
            <w:tcW w:w="652"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271"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1,300,000.00</w:t>
            </w:r>
          </w:p>
        </w:tc>
        <w:tc>
          <w:tcPr>
            <w:tcW w:w="1271"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详见项目需求书</w:t>
            </w:r>
          </w:p>
        </w:tc>
        <w:tc>
          <w:tcPr>
            <w:tcW w:w="1073"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中国电子口岸数据中心顺义办公区</w:t>
            </w:r>
          </w:p>
        </w:tc>
        <w:tc>
          <w:tcPr>
            <w:tcW w:w="1037" w:type="dxa"/>
            <w:vAlign w:val="center"/>
          </w:tcPr>
          <w:p>
            <w:pPr>
              <w:spacing w:after="120" w:line="240" w:lineRule="auto"/>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农、林、牧、渔业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2024-09-05 00:00:00</w:t>
      </w:r>
      <w:bookmarkEnd w:id="20"/>
      <w:r>
        <w:rPr>
          <w:rFonts w:ascii="宋体" w:hint="eastAsia"/>
          <w:sz w:val="24"/>
        </w:rPr>
        <w:t>至</w:t>
      </w:r>
      <w:bookmarkStart w:id="21" w:name="公告_signUpLastTime"/>
      <w:r>
        <w:rPr>
          <w:rFonts w:ascii="宋体" w:hint="eastAsia"/>
          <w:sz w:val="24"/>
        </w:rPr>
        <w:t>2024-09-12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2024-09-25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2024-09-25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地址：北京市东城区金宝街63号鑫海锦江大酒店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于2024-03-06</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中国电子口岸数据中心</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本项目预算金额合计总金额人民币1,300,000.00元，其中包1人民币1,300,000.00元。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1,300,000.00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无</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中国电子口岸数据中心</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color w:val="FF0000"/>
          <w:sz w:val="24"/>
        </w:rPr>
      </w:pPr>
      <w:r>
        <w:rPr>
          <w:rFonts w:ascii="宋体"/>
          <w:color w:val="FF0000"/>
          <w:sz w:val="24"/>
        </w:rPr>
        <w:t>注：只填写</w:t>
      </w:r>
      <w:r>
        <w:rPr>
          <w:rFonts w:ascii="宋体" w:hint="eastAsia"/>
          <w:color w:val="FF0000"/>
          <w:sz w:val="24"/>
        </w:rPr>
        <w:t>“</w:t>
      </w:r>
      <w:r>
        <w:rPr>
          <w:rFonts w:ascii="宋体"/>
          <w:color w:val="FF0000"/>
          <w:sz w:val="24"/>
        </w:rPr>
        <w:t>项目名称、招标编号、包号、投标人名称、投标总价、中小企业情况</w:t>
      </w:r>
      <w:r>
        <w:rPr>
          <w:rFonts w:ascii="宋体" w:hint="eastAsia"/>
          <w:color w:val="FF0000"/>
          <w:sz w:val="24"/>
        </w:rPr>
        <w:t>”</w:t>
      </w:r>
      <w:r>
        <w:rPr>
          <w:rFonts w:ascii="宋体"/>
          <w:color w:val="FF0000"/>
          <w:sz w:val="24"/>
        </w:rPr>
        <w:t>，其他内容可不填写。</w:t>
      </w:r>
    </w:p>
    <w:p>
      <w:pPr>
        <w:tabs>
          <w:tab w:val="left" w:pos="588"/>
        </w:tabs>
        <w:autoSpaceDN w:val="0"/>
        <w:spacing w:line="360" w:lineRule="auto"/>
        <w:rPr>
          <w:rFonts w:ascii="宋体" w:hint="eastAsia"/>
          <w:sz w:val="24"/>
        </w:rPr>
      </w:pPr>
      <w:r>
        <w:rPr>
          <w:rFonts w:ascii="宋体" w:hint="eastAsia"/>
          <w:sz w:val="24"/>
        </w:rPr>
        <w:t>（3）法定代表人授权书（法定代表人作为投标人代表直接投标的，只提供相关身份证明即可），格式见第六部分（加盖投标人电子签章）。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w:t>
      </w:r>
      <w:r>
        <w:rPr>
          <w:rFonts w:ascii="宋体" w:eastAsia="宋体"/>
          <w:sz w:val="24"/>
          <w:szCs w:val="24"/>
        </w:rPr>
        <w:t>4</w:t>
      </w:r>
      <w:r>
        <w:rPr>
          <w:rFonts w:ascii="宋体" w:eastAsia="宋体" w:hint="eastAsia"/>
          <w:sz w:val="24"/>
          <w:szCs w:val="24"/>
        </w:rPr>
        <w:t>）法定代表人及投标人代表有效期内相关身份证明（加盖投标人电子签章）。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 投标人具有《食品经营许可证》（上传原件的扫描件，加盖投标人电子签章）。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（4） 投标人具有固定的经营场所及冷冻、冷藏仓储能力，须提交相关证明文件（提供经营场所和仓储现场照片，自有产权的提供产权证明，租赁的提供租赁合同等）（上传原件的扫描件，加盖投标人电子签章）。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（5）投标人具有以下资质：质量管理体系认证证书（ISO 9001或GB/T19001）、环境管理体系（ISO14001 或GB/T24001）、食品安全管理体系认证证书（ISO 22000）、职业健康安全管理体系认证证书（OHSAS18001 或ISO45001 或GB/T28001）。</w:t>
      </w:r>
    </w:p>
    <w:p>
      <w:pPr>
        <w:tabs>
          <w:tab w:val="left" w:pos="588"/>
        </w:tabs>
        <w:autoSpaceDN w:val="0"/>
        <w:spacing w:line="360" w:lineRule="auto"/>
        <w:rPr>
          <w:rFonts w:ascii="宋体" w:hint="eastAsia"/>
          <w:color w:val="0000FF"/>
          <w:sz w:val="24"/>
        </w:rPr>
      </w:pPr>
      <w:r>
        <w:rPr>
          <w:rFonts w:ascii="宋体" w:hint="eastAsia"/>
          <w:color w:val="0000FF"/>
          <w:sz w:val="24"/>
        </w:rPr>
        <w:t>（6）投标人提供食品检测情况证明材料（具体要求详见评分标准,加盖投标人电子签章）。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（7）投标人提供业绩证明材料（具体要求详见评分标准,加盖投标人电子签章）。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（8）投标人提供食品安全管理师证明材料、供货渠道的多样性证明材料（具体要求详见评分标准,加盖投标人电子签章）。</w:t>
      </w:r>
    </w:p>
    <w:p>
      <w:pPr>
        <w:tabs>
          <w:tab w:val="left" w:pos="588"/>
        </w:tabs>
        <w:autoSpaceDN w:val="0"/>
        <w:spacing w:line="360" w:lineRule="auto"/>
        <w:rPr>
          <w:rFonts w:ascii="宋体"/>
          <w:color w:val="0000FF"/>
          <w:sz w:val="24"/>
        </w:rPr>
      </w:pPr>
      <w:r>
        <w:rPr>
          <w:rFonts w:ascii="宋体" w:hint="eastAsia"/>
          <w:color w:val="0000FF"/>
          <w:sz w:val="24"/>
        </w:rPr>
        <w:t>（9）证明投标人满足投标人资格标准的其他必要资格证明文件（如有）（加盖投标人电子签章）。</w:t>
      </w:r>
      <w:bookmarkEnd w:id="37"/>
    </w:p>
    <w:p>
      <w:pPr>
        <w:tabs>
          <w:tab w:val="left" w:pos="588"/>
        </w:tabs>
        <w:autoSpaceDN w:val="0"/>
        <w:spacing w:line="360" w:lineRule="auto"/>
        <w:rPr>
          <w:rFonts w:ascii="宋体" w:hint="eastAsia"/>
          <w:color w:val="0000FF"/>
          <w:sz w:val="24"/>
        </w:rPr>
      </w:pPr>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（1）投标人提供食材检测能力、运输能力证明材料（具体要求详见评分标准,加盖投标人电子签章）。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 投标人提供重点工作方案、应急保障方案、售后服务方案（具体要求详见评分标准,加盖投标人电子签章）。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left="361" w:firstLine="551"/>
        <w:rPr>
          <w:rFonts w:ascii="方正楷体_GBK" w:eastAsia="方正楷体_GBK" w:cs="Arial" w:hint="eastAsia"/>
          <w:b/>
          <w:bCs/>
          <w:sz w:val="28"/>
          <w:szCs w:val="28"/>
        </w:rPr>
      </w:pPr>
      <w:bookmarkStart w:id="42" w:name="插入_采购需求书"/>
      <w:r>
        <w:rPr>
          <w:rFonts w:ascii="方正楷体_GBK" w:eastAsia="方正楷体_GBK" w:cs="Arial" w:hint="eastAsia"/>
          <w:b/>
          <w:bCs/>
          <w:sz w:val="28"/>
          <w:szCs w:val="28"/>
          <w:lang w:bidi="ar-SA"/>
        </w:rPr>
        <w:t>重要提示：本项目需求书属内部资料，供应商负有保密义务，未经采购人或采购机构同意，不得向任何与此项目无关的第三方透露。</w:t>
      </w:r>
    </w:p>
    <w:p>
      <w:pPr>
        <w:pStyle w:val="18210"/>
        <w:spacing w:line="400" w:lineRule="exact"/>
        <w:rPr>
          <w:rFonts w:ascii="方正楷体_GBK" w:eastAsia="方正楷体_GBK" w:cs="Arial" w:hint="eastAsia"/>
          <w:b/>
          <w:bCs/>
          <w:sz w:val="28"/>
          <w:szCs w:val="28"/>
        </w:rPr>
      </w:pPr>
      <w:r>
        <w:rPr>
          <w:rFonts w:ascii="方正楷体_GBK" w:eastAsia="方正楷体_GBK" w:cs="Arial" w:hint="eastAsia"/>
          <w:b/>
          <w:bCs/>
          <w:sz w:val="28"/>
          <w:szCs w:val="28"/>
          <w:lang w:bidi="ar-SA"/>
        </w:rPr>
        <w:t xml:space="preserve">       带“★”的为必须满足内容，否则作为无效投标处理，不予接受；带“</w:t>
      </w:r>
      <w:r>
        <w:rPr>
          <w:rFonts w:cs="宋体" w:hint="eastAsia"/>
          <w:sz w:val="28"/>
          <w:szCs w:val="28"/>
          <w:lang w:bidi="ar-SA"/>
        </w:rPr>
        <w:t>▲</w:t>
      </w:r>
      <w:r>
        <w:rPr>
          <w:rFonts w:ascii="方正楷体_GBK" w:eastAsia="方正楷体_GBK" w:cs="Arial" w:hint="eastAsia"/>
          <w:b/>
          <w:bCs/>
          <w:sz w:val="28"/>
          <w:szCs w:val="28"/>
          <w:lang w:bidi="ar-SA"/>
        </w:rPr>
        <w:t>”的为重要内容，不满足将严重影响评分；其他技术或服务内容不满足的将影响一般评分。</w:t>
      </w:r>
    </w:p>
    <w:p>
      <w:pPr>
        <w:widowControl/>
        <w:spacing w:line="360" w:lineRule="auto"/>
        <w:jc w:val="left"/>
        <w:rPr>
          <w:rFonts w:ascii="方正黑体_GBK" w:eastAsia="方正黑体_GBK" w:hint="eastAsia"/>
          <w:b/>
          <w:sz w:val="28"/>
          <w:szCs w:val="28"/>
        </w:rPr>
      </w:pPr>
      <w:r>
        <w:rPr>
          <w:rFonts w:ascii="方正黑体_GBK" w:eastAsia="方正黑体_GBK" w:hint="eastAsia"/>
          <w:b/>
          <w:sz w:val="28"/>
          <w:szCs w:val="28"/>
        </w:rPr>
        <w:t>一、采购项目</w:t>
      </w:r>
    </w:p>
    <w:p>
      <w:pPr>
        <w:autoSpaceDN w:val="0"/>
        <w:spacing w:line="360" w:lineRule="auto"/>
        <w:ind w:firstLine="560" w:firstLineChars="200"/>
        <w:rPr>
          <w:rFonts w:ascii="方正仿宋_GBK" w:eastAsia="方正仿宋_GBK" w:hint="eastAsia"/>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1.1项目名称和预算金额：</w:t>
      </w:r>
    </w:p>
    <w:p>
      <w:pPr>
        <w:pStyle w:val="7710"/>
        <w:autoSpaceDN w:val="0"/>
        <w:spacing w:line="400" w:lineRule="exact"/>
        <w:ind w:firstLine="560" w:firstLineChars="200"/>
        <w:rPr>
          <w:rFonts w:ascii="方正仿宋_GBK" w:eastAsia="方正仿宋_GBK" w:hint="eastAsia"/>
          <w:sz w:val="28"/>
          <w:szCs w:val="28"/>
        </w:rPr>
      </w:pPr>
      <w:r>
        <w:rPr>
          <w:rFonts w:ascii="Times" w:eastAsia="方正仿宋_GBK" w:hAnsi="Times"/>
          <w:sz w:val="28"/>
          <w:szCs w:val="28"/>
        </w:rPr>
        <w:t>中国电子口岸数据中心顺义办公区</w:t>
      </w:r>
      <w:r>
        <w:rPr>
          <w:rFonts w:ascii="方正仿宋_GBK" w:eastAsia="方正仿宋_GBK" w:hint="eastAsia"/>
          <w:sz w:val="28"/>
          <w:szCs w:val="28"/>
        </w:rPr>
        <w:t>业务技术用房职工食堂食品采购，预算为130万元，供应商按照项目总金额进行投标报价。本次投标总价不得超过项目预算。投标总价不作为最终合同金额，仅通过投标总价计算浮动比率，食品的结算价格以“北京创价市场价格信息网”公布的食品批发价乘以浮动比率确定，定期按实际食品采购量进行结算。具体计算方式详见“第六条定价方式”。</w:t>
      </w:r>
    </w:p>
    <w:p>
      <w:pPr>
        <w:pStyle w:val="16100"/>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1.2采购项目的功能和目标：</w:t>
      </w:r>
    </w:p>
    <w:p>
      <w:pPr>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为保障职工食堂餐饮正常供应，申请采购食品供应</w:t>
      </w:r>
    </w:p>
    <w:p>
      <w:pPr>
        <w:pStyle w:val="1310"/>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1.3采购项目需实现的政府采购政策目标:无</w:t>
      </w:r>
    </w:p>
    <w:p>
      <w:pPr>
        <w:pStyle w:val="1310"/>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1.4预算绩效目标等内容：无</w:t>
      </w:r>
    </w:p>
    <w:p>
      <w:pPr>
        <w:autoSpaceDN w:val="0"/>
        <w:spacing w:line="360" w:lineRule="auto"/>
        <w:ind w:firstLine="560" w:firstLineChars="200"/>
        <w:rPr>
          <w:rFonts w:ascii="方正仿宋_GBK" w:eastAsia="方正仿宋_GBK" w:hint="eastAsia"/>
          <w:b/>
          <w:sz w:val="28"/>
          <w:szCs w:val="28"/>
        </w:rPr>
      </w:pPr>
      <w:r>
        <w:rPr>
          <w:rFonts w:ascii="Times New Roman" w:eastAsia="方正仿宋_GBK" w:hAnsi="Times New Roman" w:hint="eastAsia"/>
          <w:b/>
          <w:sz w:val="28"/>
          <w:szCs w:val="28"/>
        </w:rPr>
        <w:t>2.</w:t>
      </w:r>
      <w:r>
        <w:rPr>
          <w:rFonts w:ascii="方正仿宋_GBK" w:eastAsia="方正仿宋_GBK" w:hint="eastAsia"/>
          <w:b/>
          <w:sz w:val="28"/>
          <w:szCs w:val="28"/>
        </w:rPr>
        <w:t>需求调查情况</w:t>
      </w:r>
    </w:p>
    <w:p>
      <w:pPr>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 xml:space="preserve">是否进行需求调查：是 </w:t>
      </w:r>
    </w:p>
    <w:p>
      <w:pPr>
        <w:autoSpaceDN w:val="0"/>
        <w:spacing w:line="360" w:lineRule="auto"/>
        <w:ind w:firstLine="560" w:firstLineChars="200"/>
        <w:rPr>
          <w:rFonts w:ascii="方正仿宋_GBK" w:eastAsia="方正仿宋_GBK" w:hint="eastAsia"/>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方正仿宋_GBK" w:eastAsia="方正仿宋_GBK" w:hint="eastAsia"/>
          <w:b/>
          <w:sz w:val="28"/>
          <w:szCs w:val="28"/>
        </w:rPr>
        <w:t>公开征求意见情况</w:t>
      </w:r>
    </w:p>
    <w:p>
      <w:pPr>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是否公开征求意见：否</w:t>
      </w:r>
    </w:p>
    <w:p>
      <w:pPr>
        <w:autoSpaceDN w:val="0"/>
        <w:spacing w:line="360" w:lineRule="auto"/>
        <w:ind w:firstLine="560" w:firstLineChars="200"/>
        <w:rPr>
          <w:rFonts w:ascii="方正仿宋_GBK" w:eastAsia="方正仿宋_GBK" w:hint="eastAsia"/>
          <w:b/>
          <w:sz w:val="28"/>
          <w:szCs w:val="28"/>
        </w:rPr>
      </w:pP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方正仿宋_GBK" w:eastAsia="方正仿宋_GBK" w:hint="eastAsia"/>
          <w:b/>
          <w:sz w:val="28"/>
          <w:szCs w:val="28"/>
        </w:rPr>
        <w:t>需求审查情况</w:t>
      </w:r>
    </w:p>
    <w:p>
      <w:pPr>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 xml:space="preserve">是否对采购需求进行审查：是 </w:t>
      </w: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二、服务期</w:t>
      </w:r>
    </w:p>
    <w:p>
      <w:pPr>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2024年10月8日至2025年8月31日</w:t>
      </w:r>
    </w:p>
    <w:p>
      <w:pPr>
        <w:autoSpaceDN w:val="0"/>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注：职工食堂2024年9月进行防水改造，计划10月5日完成，10月8日正式营业。</w:t>
      </w: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三、采购需求</w:t>
      </w:r>
    </w:p>
    <w:p>
      <w:pPr>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主要用途</w:t>
      </w:r>
    </w:p>
    <w:p>
      <w:pPr>
        <w:pStyle w:val="5100"/>
        <w:widowControl/>
        <w:spacing w:line="360" w:lineRule="auto"/>
        <w:jc w:val="left"/>
        <w:rPr>
          <w:rFonts w:ascii="Times" w:eastAsia="方正仿宋_GBK" w:hAnsi="Times"/>
          <w:sz w:val="28"/>
          <w:szCs w:val="28"/>
        </w:rPr>
      </w:pPr>
      <w:r>
        <w:rPr>
          <w:rFonts w:ascii="Times" w:eastAsia="方正仿宋_GBK" w:hAnsi="Times" w:hint="eastAsia"/>
          <w:sz w:val="28"/>
          <w:szCs w:val="28"/>
        </w:rPr>
        <w:t xml:space="preserve">    </w:t>
      </w:r>
      <w:r>
        <w:rPr>
          <w:rFonts w:ascii="Times" w:eastAsia="方正仿宋_GBK" w:hAnsi="Times"/>
          <w:sz w:val="28"/>
          <w:szCs w:val="28"/>
        </w:rPr>
        <w:t>供中国电子口岸数据中心顺义办公区员工就餐。</w:t>
      </w:r>
    </w:p>
    <w:p>
      <w:pPr>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2.</w:t>
      </w:r>
      <w:r>
        <w:rPr>
          <w:rFonts w:ascii="Times New Roman" w:eastAsia="方正仿宋_GBK" w:hAnsi="Times New Roman" w:hint="eastAsia"/>
          <w:b/>
          <w:sz w:val="28"/>
          <w:szCs w:val="28"/>
        </w:rPr>
        <w:t>特殊资质要求</w:t>
      </w:r>
    </w:p>
    <w:p>
      <w:pPr>
        <w:pStyle w:val="5100"/>
        <w:widowControl/>
        <w:spacing w:line="360" w:lineRule="auto"/>
        <w:jc w:val="left"/>
        <w:rPr>
          <w:rFonts w:ascii="方正仿宋_GBK" w:eastAsia="方正仿宋_GBK" w:hint="eastAsia"/>
          <w:sz w:val="28"/>
          <w:szCs w:val="28"/>
        </w:rPr>
      </w:pPr>
      <w:r>
        <w:rPr>
          <w:rFonts w:ascii="Times" w:eastAsia="方正仿宋_GBK" w:hAnsi="Times" w:hint="eastAsia"/>
          <w:sz w:val="28"/>
          <w:szCs w:val="28"/>
        </w:rPr>
        <w:t>★</w:t>
      </w:r>
      <w:r>
        <w:rPr>
          <w:rFonts w:ascii="方正仿宋_GBK" w:eastAsia="方正仿宋_GBK" w:hint="eastAsia"/>
          <w:sz w:val="28"/>
          <w:szCs w:val="28"/>
        </w:rPr>
        <w:t xml:space="preserve">  2.1食品供应商具有《食品经营许可证》。</w:t>
      </w:r>
    </w:p>
    <w:p>
      <w:pPr>
        <w:pStyle w:val="5100"/>
        <w:widowControl/>
        <w:spacing w:line="360" w:lineRule="auto"/>
        <w:jc w:val="left"/>
        <w:rPr>
          <w:rFonts w:ascii="方正仿宋_GBK" w:eastAsia="方正仿宋_GBK" w:hint="eastAsia"/>
          <w:sz w:val="28"/>
          <w:szCs w:val="28"/>
        </w:rPr>
      </w:pPr>
      <w:r>
        <w:rPr>
          <w:rFonts w:ascii="Times" w:eastAsia="方正仿宋_GBK" w:hAnsi="Times" w:hint="eastAsia"/>
          <w:sz w:val="28"/>
          <w:szCs w:val="28"/>
        </w:rPr>
        <w:t>★</w:t>
      </w:r>
      <w:r>
        <w:rPr>
          <w:rFonts w:ascii="Times" w:eastAsia="方正仿宋_GBK" w:hAnsi="Times"/>
          <w:sz w:val="28"/>
          <w:szCs w:val="28"/>
        </w:rPr>
        <w:t xml:space="preserve">  </w:t>
      </w:r>
      <w:r>
        <w:rPr>
          <w:rFonts w:ascii="方正仿宋_GBK" w:eastAsia="方正仿宋_GBK" w:hint="eastAsia"/>
          <w:sz w:val="28"/>
          <w:szCs w:val="28"/>
        </w:rPr>
        <w:t>2.2食品供应商具有固定的经营场所及冷冻、冷藏仓储能力，须提交相关证明文件（提供经营场所和仓储现场照片，自有产权的提供产权证明，租赁的提供租赁合同等）。</w:t>
      </w:r>
    </w:p>
    <w:p>
      <w:pPr>
        <w:pStyle w:val="5100"/>
        <w:widowControl/>
        <w:spacing w:line="360" w:lineRule="auto"/>
        <w:ind w:firstLine="560" w:firstLineChars="200"/>
        <w:jc w:val="left"/>
        <w:rPr>
          <w:rFonts w:ascii="方正仿宋_GBK" w:eastAsia="方正仿宋_GBK" w:hint="eastAsia"/>
          <w:sz w:val="28"/>
          <w:szCs w:val="28"/>
        </w:rPr>
      </w:pPr>
      <w:r>
        <w:rPr>
          <w:rFonts w:ascii="方正仿宋_GBK" w:eastAsia="方正仿宋_GBK" w:hint="eastAsia"/>
          <w:sz w:val="28"/>
          <w:szCs w:val="28"/>
        </w:rPr>
        <w:t>2.3食品供应商具有以下资质：质量管理体系认证证书（ISO 9001或GB/T19001）、环境管理体系（ISO14001 或GB/T24001）、食品安全管理体系认证证书（ISO 22000）、职业健康安全管理体系认证证书（OHSAS18001 或ISO45001 或GB/T28001）。</w:t>
      </w:r>
    </w:p>
    <w:p>
      <w:pPr>
        <w:spacing w:line="400" w:lineRule="exact"/>
        <w:ind w:left="0"/>
        <w:rPr>
          <w:rFonts w:ascii="Times" w:eastAsia="方正仿宋_GBK" w:hAnsi="Times"/>
          <w:b/>
          <w:sz w:val="28"/>
          <w:szCs w:val="28"/>
        </w:rPr>
      </w:pPr>
      <w:r>
        <w:rPr>
          <w:rFonts w:ascii="方正仿宋_GBK" w:eastAsia="方正仿宋_GBK" w:hint="eastAsia"/>
          <w:sz w:val="28"/>
          <w:szCs w:val="28"/>
        </w:rPr>
        <w:t xml:space="preserve">  </w:t>
      </w:r>
      <w:r>
        <w:rPr>
          <w:rFonts w:ascii="Times New Roman" w:eastAsia="方正仿宋_GBK" w:hAnsi="Times New Roman"/>
          <w:b/>
          <w:sz w:val="28"/>
          <w:szCs w:val="28"/>
        </w:rPr>
        <w:t>3.</w:t>
      </w:r>
      <w:r>
        <w:rPr>
          <w:rFonts w:ascii="Times" w:eastAsia="方正仿宋_GBK" w:hAnsi="Times"/>
          <w:b/>
          <w:bCs/>
          <w:sz w:val="28"/>
          <w:szCs w:val="28"/>
        </w:rPr>
        <w:t>货物质量及服务标准</w:t>
      </w:r>
    </w:p>
    <w:p>
      <w:pPr>
        <w:pStyle w:val="2103"/>
        <w:widowControl/>
        <w:spacing w:line="360" w:lineRule="auto"/>
        <w:ind w:firstLine="560" w:firstLineChars="200"/>
        <w:jc w:val="left"/>
        <w:rPr>
          <w:rFonts w:ascii="方正仿宋_GBK" w:eastAsia="方正仿宋_GBK" w:hint="eastAsia"/>
          <w:sz w:val="28"/>
          <w:szCs w:val="28"/>
        </w:rPr>
      </w:pPr>
      <w:r>
        <w:rPr>
          <w:rFonts w:ascii="方正仿宋_GBK" w:eastAsia="方正仿宋_GBK" w:hint="eastAsia"/>
          <w:b/>
          <w:sz w:val="28"/>
          <w:szCs w:val="28"/>
        </w:rPr>
        <w:t>3.1总体质量标准</w:t>
      </w:r>
    </w:p>
    <w:p>
      <w:pPr>
        <w:pStyle w:val="3100"/>
        <w:widowControl/>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3.1.1食品必须符合国家饮食卫生标准，同时保证食品新鲜，不得出现腐烂、变质，以次充好等情况；</w:t>
      </w:r>
    </w:p>
    <w:p>
      <w:pPr>
        <w:pStyle w:val="3100"/>
        <w:widowControl/>
        <w:spacing w:line="360" w:lineRule="auto"/>
        <w:ind w:left="0" w:firstLine="560" w:firstLineChars="200"/>
        <w:rPr>
          <w:rFonts w:ascii="方正仿宋_GBK" w:eastAsia="方正仿宋_GBK" w:hint="eastAsia"/>
          <w:sz w:val="28"/>
          <w:szCs w:val="28"/>
        </w:rPr>
      </w:pPr>
      <w:r>
        <w:rPr>
          <w:rFonts w:ascii="方正仿宋_GBK" w:eastAsia="方正仿宋_GBK" w:hint="eastAsia"/>
          <w:sz w:val="28"/>
          <w:szCs w:val="28"/>
        </w:rPr>
        <w:t>3.1.2供应商食品的质量与包装应符合国家相关法律法规的规定，符合行业主管部门发布的规定、标准、规范；</w:t>
      </w:r>
    </w:p>
    <w:p>
      <w:pPr>
        <w:pStyle w:val="3100"/>
        <w:widowControl/>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3.1.3 按规定必须经由法定食品检验机构检测的食品，供应商应向采购人提供同批次有食品检验机构盖章的食品检验报告或合格证复印件。</w:t>
      </w:r>
    </w:p>
    <w:p>
      <w:pPr>
        <w:spacing w:line="400" w:lineRule="exact"/>
        <w:ind w:left="0" w:firstLine="560" w:firstLineChars="200"/>
        <w:rPr>
          <w:rFonts w:ascii="方正仿宋_GBK" w:eastAsia="方正仿宋_GBK" w:hint="eastAsia"/>
          <w:b/>
          <w:bCs/>
          <w:sz w:val="28"/>
          <w:szCs w:val="28"/>
        </w:rPr>
      </w:pPr>
      <w:r>
        <w:rPr>
          <w:rFonts w:ascii="方正仿宋_GBK" w:eastAsia="方正仿宋_GBK" w:hint="eastAsia"/>
          <w:b/>
          <w:bCs/>
          <w:sz w:val="28"/>
          <w:szCs w:val="28"/>
        </w:rPr>
        <w:t>3.2分类质量标准</w:t>
      </w:r>
    </w:p>
    <w:p>
      <w:pPr>
        <w:pStyle w:val="12101"/>
        <w:widowControl/>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顺义食堂日常所需要采购的食品种类包括但不限于：面条、米线、畜禽肉、水产品、禽蛋、冻品、蔬菜、水果、豆腐及豆制品、调料、米、面、油等。</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3.2.1.面条米线质量标准</w:t>
      </w:r>
    </w:p>
    <w:p>
      <w:pPr>
        <w:pStyle w:val="4101"/>
        <w:widowControl/>
        <w:spacing w:line="360" w:lineRule="auto"/>
        <w:rPr>
          <w:rFonts w:ascii="方正仿宋_GBK" w:eastAsia="方正仿宋_GBK" w:hint="eastAsia"/>
          <w:sz w:val="28"/>
          <w:szCs w:val="28"/>
        </w:rPr>
      </w:pPr>
      <w:r>
        <w:rPr>
          <w:rFonts w:ascii="方正仿宋_GBK" w:eastAsia="方正仿宋_GBK" w:hint="eastAsia"/>
          <w:sz w:val="28"/>
          <w:szCs w:val="28"/>
        </w:rPr>
        <w:t xml:space="preserve">    鲜面条、干面条、米线、饵丝：要求原材料不含非食品用化学物质、不掺假、不过期、不变质、不变味、无杂质、无毒害，符合国家食品行业的标准。</w:t>
      </w:r>
    </w:p>
    <w:p>
      <w:pPr>
        <w:pStyle w:val="4101"/>
        <w:rPr>
          <w:rFonts w:ascii="方正仿宋_GBK" w:eastAsia="方正仿宋_GBK" w:hint="eastAsia"/>
          <w:sz w:val="28"/>
          <w:szCs w:val="28"/>
        </w:rPr>
      </w:pPr>
      <w:r>
        <w:rPr>
          <w:rFonts w:ascii="方正仿宋_GBK" w:eastAsia="方正仿宋_GBK" w:hint="eastAsia"/>
          <w:sz w:val="28"/>
          <w:szCs w:val="28"/>
        </w:rPr>
        <w:t xml:space="preserve">    3.2.2畜禽肉质量标准</w:t>
      </w:r>
    </w:p>
    <w:p>
      <w:pPr>
        <w:pStyle w:val="4101"/>
        <w:widowControl/>
        <w:spacing w:line="360" w:lineRule="auto"/>
        <w:ind w:firstLine="555"/>
        <w:rPr>
          <w:rFonts w:ascii="方正仿宋_GBK" w:eastAsia="方正仿宋_GBK" w:hint="eastAsia"/>
          <w:sz w:val="28"/>
          <w:szCs w:val="28"/>
        </w:rPr>
      </w:pPr>
      <w:r>
        <w:rPr>
          <w:rFonts w:ascii="方正仿宋_GBK" w:eastAsia="方正仿宋_GBK" w:hint="eastAsia"/>
          <w:sz w:val="28"/>
          <w:szCs w:val="28"/>
        </w:rPr>
        <w:t>须为屠宰厂24小时内屠宰的鲜肉，有动物检疫合格证明。肉品须表皮洁净、膘厚适中、色泽鲜亮、脂肪洁白；纹理清晰、肉质细腻、无异味、去骨、无毛；按压无水迹，肉质有弹性，放手后指压的凹陷立即恢复，不粘手；外表微干或微湿润，脂肪团聚于表面为白色或乳白色，整体色泽光润；切面红色、微微湿润但不粘手；无淤血，无注水，无寄生虫。</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3.2.3水产品质量标准</w:t>
      </w:r>
    </w:p>
    <w:p>
      <w:pPr>
        <w:pStyle w:val="4101"/>
        <w:widowControl/>
        <w:spacing w:line="360" w:lineRule="auto"/>
        <w:rPr>
          <w:rFonts w:ascii="方正仿宋_GBK" w:eastAsia="方正仿宋_GBK" w:hint="eastAsia"/>
          <w:sz w:val="28"/>
          <w:szCs w:val="28"/>
        </w:rPr>
      </w:pPr>
      <w:r>
        <w:rPr>
          <w:rFonts w:ascii="方正仿宋_GBK" w:eastAsia="方正仿宋_GBK" w:hint="eastAsia"/>
          <w:sz w:val="28"/>
          <w:szCs w:val="28"/>
        </w:rPr>
        <w:t xml:space="preserve">    桂鱼、鲈鱼、草鱼等，体表光滑无病灶，有鳞鱼鳞片完整，无鳞鱼无浑浊粘液，呈白色或淡黄色，眼球外突饱满透明，鳃丝清晰鲜红或暗红，保持活体状态固有本色，无异味，肌肉紧密有弹性，内脏清晰可辨、无腐烂。净膛鱼：鳞片、内脏、鱼鳃去除干净，无残留物，眼球外突饱满透明，无异味。</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3.2.4禽蛋质量标准</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新鲜、大小均匀、无破损、色泽光滑。</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3.2.5冻品质量标准</w:t>
      </w:r>
    </w:p>
    <w:p>
      <w:pPr>
        <w:pStyle w:val="4101"/>
        <w:widowControl/>
        <w:spacing w:line="360" w:lineRule="auto"/>
        <w:rPr>
          <w:rFonts w:ascii="方正仿宋_GBK" w:eastAsia="方正仿宋_GBK" w:hint="eastAsia"/>
          <w:sz w:val="28"/>
          <w:szCs w:val="28"/>
        </w:rPr>
      </w:pPr>
      <w:r>
        <w:rPr>
          <w:rFonts w:ascii="方正仿宋_GBK" w:eastAsia="方正仿宋_GBK" w:hint="eastAsia"/>
          <w:sz w:val="28"/>
          <w:szCs w:val="28"/>
        </w:rPr>
        <w:t xml:space="preserve">    冻品外包装需密封、完整、无破损，商品合格证齐全，有生产日期及保质期，剩余保质期不少于保质期的三分之二。冻品在解冻后，发现质量问题需退货。供应商应符合国家绿色批发市场标准，具备满足交易需要的冷冻贮藏设施。</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3.2.6蔬菜质量标准</w:t>
      </w:r>
    </w:p>
    <w:p>
      <w:pPr>
        <w:pStyle w:val="4101"/>
        <w:widowControl/>
        <w:spacing w:line="360" w:lineRule="auto"/>
        <w:rPr>
          <w:rFonts w:ascii="方正仿宋_GBK" w:eastAsia="方正仿宋_GBK" w:hint="eastAsia"/>
          <w:sz w:val="28"/>
          <w:szCs w:val="28"/>
        </w:rPr>
      </w:pPr>
      <w:r>
        <w:rPr>
          <w:rFonts w:ascii="方正仿宋_GBK" w:eastAsia="方正仿宋_GBK" w:hint="eastAsia"/>
          <w:sz w:val="28"/>
          <w:szCs w:val="28"/>
        </w:rPr>
        <w:t xml:space="preserve">    当季各类新鲜蔬菜以及大棚种植蔬菜，蔬菜类无黄叶、枯死叶，无虫，无杂质，原菜须保证菜面干净，无明显泥土，码放整齐，无破损，大小基本统一，不过熟或欠熟；净菜须保证菜面完全干净、无泥土、按统一标准加工、码放整齐、无须二次处理可以直接进行熟加工。</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3.2.7水果质量标准</w:t>
      </w:r>
    </w:p>
    <w:p>
      <w:pPr>
        <w:pStyle w:val="4101"/>
        <w:widowControl/>
        <w:spacing w:line="360" w:lineRule="auto"/>
        <w:ind w:firstLine="555"/>
        <w:rPr>
          <w:rFonts w:ascii="方正仿宋_GBK" w:eastAsia="方正仿宋_GBK" w:hint="eastAsia"/>
          <w:sz w:val="28"/>
          <w:szCs w:val="28"/>
        </w:rPr>
      </w:pPr>
      <w:r>
        <w:rPr>
          <w:rFonts w:ascii="方正仿宋_GBK" w:eastAsia="方正仿宋_GBK" w:hint="eastAsia"/>
          <w:sz w:val="28"/>
          <w:szCs w:val="28"/>
        </w:rPr>
        <w:t>当季各类水果，无虫、无杂质。果面干净，无明显泥土，码放整齐，无破损，大小基本统一，不过熟或欠熟。</w:t>
      </w:r>
    </w:p>
    <w:p>
      <w:pPr>
        <w:pStyle w:val="4101"/>
        <w:ind w:firstLine="560" w:firstLineChars="200"/>
        <w:jc w:val="left"/>
        <w:rPr>
          <w:rFonts w:ascii="方正仿宋_GBK" w:eastAsia="方正仿宋_GBK" w:hint="eastAsia"/>
          <w:sz w:val="28"/>
          <w:szCs w:val="28"/>
        </w:rPr>
      </w:pPr>
      <w:r>
        <w:rPr>
          <w:rFonts w:ascii="方正仿宋_GBK" w:eastAsia="方正仿宋_GBK" w:hint="eastAsia"/>
          <w:sz w:val="28"/>
          <w:szCs w:val="28"/>
        </w:rPr>
        <w:t>3.2.8豆腐及豆制品质量标准</w:t>
      </w:r>
    </w:p>
    <w:p>
      <w:pPr>
        <w:pStyle w:val="4101"/>
        <w:widowControl/>
        <w:spacing w:line="360" w:lineRule="auto"/>
        <w:rPr>
          <w:rFonts w:ascii="方正仿宋_GBK" w:eastAsia="方正仿宋_GBK" w:hint="eastAsia"/>
          <w:sz w:val="28"/>
          <w:szCs w:val="28"/>
        </w:rPr>
      </w:pPr>
      <w:r>
        <w:rPr>
          <w:rFonts w:ascii="方正仿宋_GBK" w:eastAsia="方正仿宋_GBK" w:hint="eastAsia"/>
          <w:sz w:val="28"/>
          <w:szCs w:val="28"/>
        </w:rPr>
        <w:t xml:space="preserve">    豆腐、豆腐干等：须保证食品干净，不含非食品用化学物质，按统一标准加工，码放整齐，无须二次处理可以直接进行熟加工。</w:t>
      </w:r>
    </w:p>
    <w:p>
      <w:pPr>
        <w:pStyle w:val="4101"/>
        <w:jc w:val="left"/>
        <w:rPr>
          <w:rFonts w:ascii="方正仿宋_GBK" w:eastAsia="方正仿宋_GBK" w:hint="eastAsia"/>
          <w:sz w:val="28"/>
          <w:szCs w:val="28"/>
        </w:rPr>
      </w:pPr>
      <w:r>
        <w:rPr>
          <w:rFonts w:ascii="方正仿宋_GBK" w:eastAsia="方正仿宋_GBK" w:hint="eastAsia"/>
          <w:sz w:val="28"/>
          <w:szCs w:val="28"/>
        </w:rPr>
        <w:t xml:space="preserve">    3.2.9调料质量标准</w:t>
      </w:r>
    </w:p>
    <w:p>
      <w:pPr>
        <w:pStyle w:val="4101"/>
        <w:autoSpaceDN w:val="0"/>
        <w:jc w:val="left"/>
        <w:rPr>
          <w:rFonts w:ascii="方正仿宋_GBK" w:eastAsia="方正仿宋_GBK" w:hint="eastAsia"/>
          <w:sz w:val="28"/>
          <w:szCs w:val="28"/>
        </w:rPr>
      </w:pPr>
      <w:r>
        <w:rPr>
          <w:rFonts w:ascii="方正仿宋_GBK" w:eastAsia="方正仿宋_GBK" w:hint="eastAsia"/>
          <w:sz w:val="28"/>
          <w:szCs w:val="28"/>
        </w:rPr>
        <w:t xml:space="preserve">    外包装无污物、无泄漏、无胀袋或鼓盖、无变质发霉现象。色泽正常，具有该品种固有的香味，无异味，油酱均匀，无结块，封口平整，无破包、夹包、漏包，无污染。</w:t>
      </w:r>
    </w:p>
    <w:p>
      <w:pPr>
        <w:pStyle w:val="4101"/>
        <w:autoSpaceDN w:val="0"/>
        <w:ind w:firstLine="420" w:firstLineChars="150"/>
        <w:jc w:val="left"/>
        <w:rPr>
          <w:rFonts w:ascii="方正仿宋_GBK" w:eastAsia="方正仿宋_GBK" w:hint="eastAsia"/>
          <w:sz w:val="28"/>
          <w:szCs w:val="28"/>
        </w:rPr>
      </w:pPr>
      <w:r>
        <w:rPr>
          <w:rFonts w:ascii="方正仿宋_GBK" w:eastAsia="方正仿宋_GBK" w:hint="eastAsia"/>
          <w:sz w:val="28"/>
          <w:szCs w:val="28"/>
        </w:rPr>
        <w:t xml:space="preserve"> 3.2.10大米质量标准</w:t>
      </w:r>
    </w:p>
    <w:p>
      <w:pPr>
        <w:pStyle w:val="4101"/>
        <w:autoSpaceDN w:val="0"/>
        <w:ind w:firstLine="560" w:firstLineChars="200"/>
        <w:jc w:val="left"/>
        <w:rPr>
          <w:rFonts w:ascii="方正仿宋_GBK" w:eastAsia="方正仿宋_GBK" w:hint="eastAsia"/>
          <w:sz w:val="28"/>
          <w:szCs w:val="28"/>
        </w:rPr>
      </w:pPr>
      <w:r>
        <w:rPr>
          <w:rFonts w:ascii="方正仿宋_GBK" w:eastAsia="方正仿宋_GBK" w:hint="eastAsia"/>
          <w:sz w:val="28"/>
          <w:szCs w:val="28"/>
        </w:rPr>
        <w:t>执行GB/T 1354-2009标准，颗粒饱满，米中无杂质，无发霉、生虫等变质现象。大米包装袋上印有大米品名、等级、数量、出厂名、厂家地址及其电话。剩余保质期不少于保质期的三分之二。</w:t>
      </w:r>
    </w:p>
    <w:p>
      <w:pPr>
        <w:pStyle w:val="4101"/>
        <w:autoSpaceDN w:val="0"/>
        <w:ind w:firstLine="420" w:firstLineChars="150"/>
        <w:jc w:val="left"/>
        <w:rPr>
          <w:rFonts w:ascii="方正仿宋_GBK" w:eastAsia="方正仿宋_GBK" w:hint="eastAsia"/>
          <w:sz w:val="28"/>
          <w:szCs w:val="28"/>
        </w:rPr>
      </w:pPr>
      <w:r>
        <w:rPr>
          <w:rFonts w:ascii="方正仿宋_GBK" w:eastAsia="方正仿宋_GBK" w:hint="eastAsia"/>
          <w:sz w:val="28"/>
          <w:szCs w:val="28"/>
        </w:rPr>
        <w:t xml:space="preserve"> 3.2.11面粉（含面粉配料）质量标准</w:t>
      </w:r>
    </w:p>
    <w:p>
      <w:pPr>
        <w:pStyle w:val="4101"/>
        <w:autoSpaceDN w:val="0"/>
        <w:ind w:firstLine="560" w:firstLineChars="200"/>
        <w:jc w:val="left"/>
        <w:rPr>
          <w:rFonts w:ascii="方正仿宋_GBK" w:eastAsia="方正仿宋_GBK" w:hint="eastAsia"/>
          <w:sz w:val="28"/>
          <w:szCs w:val="28"/>
        </w:rPr>
      </w:pPr>
      <w:r>
        <w:rPr>
          <w:rFonts w:ascii="方正仿宋_GBK" w:eastAsia="方正仿宋_GBK" w:hint="eastAsia"/>
          <w:sz w:val="28"/>
          <w:szCs w:val="28"/>
        </w:rPr>
        <w:t>通用面粉达GB1355-86国家标准；高筋面粉达GB/T 8607-1988国家标准，质量等级一级；低筋面粉达GB8608-1988标准，质量等级一级。色泽正常，干爽无异味。包装袋上有注册商标及QS标注，有检验合格证、生产日期和保质期。剩余保质期不少于保质期的三分之二。</w:t>
      </w:r>
    </w:p>
    <w:p>
      <w:pPr>
        <w:pStyle w:val="4101"/>
        <w:autoSpaceDN w:val="0"/>
        <w:spacing w:line="360" w:lineRule="auto"/>
        <w:ind w:firstLine="420" w:firstLineChars="150"/>
        <w:jc w:val="left"/>
        <w:rPr>
          <w:rFonts w:ascii="方正仿宋_GBK" w:eastAsia="方正仿宋_GBK" w:hint="eastAsia"/>
          <w:sz w:val="28"/>
          <w:szCs w:val="28"/>
        </w:rPr>
      </w:pPr>
      <w:r>
        <w:rPr>
          <w:rFonts w:ascii="方正仿宋_GBK" w:eastAsia="方正仿宋_GBK" w:hint="eastAsia"/>
          <w:sz w:val="28"/>
          <w:szCs w:val="28"/>
        </w:rPr>
        <w:t xml:space="preserve"> 3.2.12.食用油质量标准</w:t>
      </w:r>
    </w:p>
    <w:p>
      <w:pPr>
        <w:pStyle w:val="4101"/>
        <w:autoSpaceDN w:val="0"/>
        <w:ind w:firstLine="560" w:firstLineChars="200"/>
        <w:jc w:val="left"/>
        <w:rPr>
          <w:rFonts w:ascii="方正仿宋_GBK" w:eastAsia="方正仿宋_GBK" w:hint="eastAsia"/>
          <w:sz w:val="28"/>
          <w:szCs w:val="28"/>
        </w:rPr>
      </w:pPr>
      <w:r>
        <w:rPr>
          <w:rFonts w:ascii="方正仿宋_GBK" w:eastAsia="方正仿宋_GBK" w:hint="eastAsia"/>
          <w:sz w:val="28"/>
          <w:szCs w:val="28"/>
        </w:rPr>
        <w:t>符合国家食用调和油质量标准GB 2716-2018，大豆油质量标准GB/T1535-2017，质量等级一级；有合格检测报告，外观的色泽、透明度、气味、滋味等无异常；定型包装；剩余保质期不少于保质期的三分之二。</w:t>
      </w:r>
    </w:p>
    <w:p>
      <w:pPr>
        <w:pStyle w:val="4101"/>
        <w:widowControl/>
        <w:spacing w:line="360" w:lineRule="auto"/>
        <w:ind w:firstLine="560" w:firstLineChars="200"/>
        <w:rPr>
          <w:rFonts w:ascii="方正仿宋_GBK" w:eastAsia="方正仿宋_GBK" w:hint="eastAsia"/>
          <w:sz w:val="28"/>
          <w:szCs w:val="28"/>
        </w:rPr>
      </w:pPr>
      <w:r>
        <w:rPr>
          <w:rFonts w:ascii="方正仿宋_GBK" w:eastAsia="方正仿宋_GBK" w:hint="eastAsia"/>
          <w:sz w:val="28"/>
          <w:szCs w:val="28"/>
        </w:rPr>
        <w:t>3.2.13.未在上述列明的商品须符合国家食品安全卫生相关质量标准，具体质量标准经采购人、供应商共同确认后执行。</w:t>
      </w:r>
    </w:p>
    <w:p>
      <w:pPr>
        <w:spacing w:line="400" w:lineRule="exact"/>
        <w:ind w:left="0"/>
        <w:rPr>
          <w:rFonts w:ascii="Times" w:eastAsia="方正仿宋_GBK" w:hAnsi="Times"/>
          <w:b/>
          <w:sz w:val="28"/>
          <w:szCs w:val="28"/>
        </w:rPr>
      </w:pPr>
      <w:r>
        <w:rPr>
          <w:rFonts w:ascii="方正仿宋_GBK" w:eastAsia="方正仿宋_GBK" w:hint="eastAsia"/>
          <w:sz w:val="28"/>
          <w:szCs w:val="28"/>
        </w:rPr>
        <w:t xml:space="preserve">   </w:t>
      </w:r>
      <w:r>
        <w:rPr>
          <w:rFonts w:ascii="Times" w:eastAsia="方正仿宋_GBK" w:hAnsi="Times"/>
          <w:b/>
          <w:sz w:val="28"/>
          <w:szCs w:val="28"/>
        </w:rPr>
        <w:t>4.包装、运输要求</w:t>
      </w:r>
    </w:p>
    <w:p>
      <w:pPr>
        <w:pStyle w:val="Default"/>
        <w:ind w:firstLine="570"/>
        <w:rPr>
          <w:rFonts w:ascii="Times" w:eastAsia="方正仿宋_GBK" w:hAnsi="Times" w:hint="eastAsia"/>
          <w:color w:val="auto"/>
          <w:kern w:val="2"/>
          <w:sz w:val="28"/>
          <w:szCs w:val="28"/>
        </w:rPr>
      </w:pPr>
      <w:r>
        <w:rPr>
          <w:rFonts w:ascii="Times" w:eastAsia="方正仿宋_GBK" w:hAnsi="Times" w:hint="eastAsia"/>
          <w:color w:val="auto"/>
          <w:kern w:val="2"/>
          <w:sz w:val="28"/>
          <w:szCs w:val="28"/>
        </w:rPr>
        <w:t>运输工具必须保持清洁、干燥、无异味，防止食品污染，具有</w:t>
      </w:r>
      <w:r>
        <w:rPr>
          <w:rFonts w:ascii="Times" w:eastAsia="方正仿宋_GBK" w:hAnsi="Times"/>
          <w:color w:val="auto"/>
          <w:kern w:val="2"/>
          <w:sz w:val="28"/>
          <w:szCs w:val="28"/>
        </w:rPr>
        <w:t>确保</w:t>
      </w:r>
      <w:r>
        <w:rPr>
          <w:rFonts w:ascii="Times" w:eastAsia="方正仿宋_GBK" w:hAnsi="Times" w:hint="eastAsia"/>
          <w:color w:val="auto"/>
          <w:kern w:val="2"/>
          <w:sz w:val="28"/>
          <w:szCs w:val="28"/>
        </w:rPr>
        <w:t>食品安全所需的冷藏措施，</w:t>
      </w:r>
      <w:r>
        <w:rPr>
          <w:rFonts w:ascii="Times" w:eastAsia="方正仿宋_GBK" w:hAnsi="Times"/>
          <w:color w:val="auto"/>
          <w:kern w:val="2"/>
          <w:sz w:val="28"/>
          <w:szCs w:val="28"/>
        </w:rPr>
        <w:t>冷冻制品必须使用符合规范标准的冷藏车进行运输，</w:t>
      </w:r>
      <w:r>
        <w:rPr>
          <w:rFonts w:ascii="Times" w:eastAsia="方正仿宋_GBK" w:hAnsi="Times" w:hint="eastAsia"/>
          <w:color w:val="auto"/>
          <w:kern w:val="2"/>
          <w:sz w:val="28"/>
          <w:szCs w:val="28"/>
        </w:rPr>
        <w:t>冷链运输必须符合相关防疫要求；严禁与有毒、有害、有异味、易污染的物品混装、混运；运输前必须进行食品的质量检查，在标签、批号和货物三者符合的情况下才能运输；运输包装必须牢固、整洁、防潮，并符合相关的包装规定；运输过程中装叠稳固、防雨、防潮、防暴晒；装卸时应轻装轻卸，防止碰撞。</w:t>
      </w:r>
    </w:p>
    <w:p>
      <w:pPr>
        <w:pStyle w:val="Default"/>
        <w:ind w:firstLine="560" w:firstLineChars="200"/>
        <w:rPr>
          <w:rFonts w:ascii="Times" w:eastAsia="方正仿宋_GBK" w:hAnsi="Times" w:hint="eastAsia"/>
          <w:color w:val="auto"/>
          <w:kern w:val="2"/>
          <w:sz w:val="28"/>
          <w:szCs w:val="28"/>
        </w:rPr>
      </w:pPr>
      <w:r>
        <w:rPr>
          <w:rFonts w:ascii="Times" w:eastAsia="方正仿宋_GBK" w:hAnsi="Times" w:hint="eastAsia"/>
          <w:color w:val="auto"/>
          <w:kern w:val="2"/>
          <w:sz w:val="28"/>
          <w:szCs w:val="28"/>
        </w:rPr>
        <w:t>供应商需具备应急采购、储备、运输等能力，及时响应。采购人因特殊情况需加送食材时，供应商须准时送达，不得推诿延误，保证送货时效性与安全性。</w:t>
      </w:r>
    </w:p>
    <w:p>
      <w:pPr>
        <w:pStyle w:val="a5"/>
        <w:ind w:left="130" w:firstLine="560" w:firstLineChars="200"/>
        <w:rPr>
          <w:rFonts w:ascii="Times" w:eastAsia="方正仿宋_GBK" w:hAnsi="Times"/>
          <w:color w:val="auto"/>
          <w:kern w:val="2"/>
          <w:sz w:val="28"/>
          <w:szCs w:val="28"/>
        </w:rPr>
      </w:pPr>
      <w:r>
        <w:rPr>
          <w:rFonts w:ascii="Times" w:eastAsia="方正仿宋_GBK" w:hAnsi="Times" w:hint="eastAsia"/>
          <w:color w:val="auto"/>
          <w:kern w:val="2"/>
          <w:sz w:val="28"/>
          <w:szCs w:val="28"/>
        </w:rPr>
        <w:t>供应商应详细计划安排配送工作，制定配送方案，防止误点错送。因不可抗力原因无法按时配送时，供应商应有应急预案并及时启动，确保采购人订购的食材能按时、按质、足量配送到位。</w:t>
      </w:r>
    </w:p>
    <w:p>
      <w:pPr>
        <w:spacing w:line="400" w:lineRule="exact"/>
        <w:ind w:left="0"/>
        <w:rPr>
          <w:rFonts w:ascii="Times" w:eastAsia="方正仿宋_GBK" w:hAnsi="Times"/>
          <w:b/>
          <w:sz w:val="28"/>
          <w:szCs w:val="28"/>
        </w:rPr>
      </w:pPr>
      <w:r>
        <w:rPr>
          <w:rFonts w:ascii="方正仿宋_GBK" w:eastAsia="方正仿宋_GBK" w:hint="eastAsia"/>
          <w:sz w:val="28"/>
          <w:szCs w:val="28"/>
        </w:rPr>
        <w:t xml:space="preserve">  </w:t>
      </w:r>
      <w:r>
        <w:rPr>
          <w:rFonts w:ascii="Times" w:eastAsia="方正仿宋_GBK" w:hAnsi="Times"/>
          <w:b/>
          <w:sz w:val="28"/>
          <w:szCs w:val="28"/>
        </w:rPr>
        <w:t>5.</w:t>
      </w:r>
      <w:r>
        <w:rPr>
          <w:rFonts w:ascii="Times" w:eastAsia="方正仿宋_GBK" w:hAnsi="Times" w:hint="eastAsia"/>
          <w:b/>
          <w:sz w:val="28"/>
          <w:szCs w:val="28"/>
        </w:rPr>
        <w:t>退换货要求：</w:t>
      </w:r>
    </w:p>
    <w:p>
      <w:pPr>
        <w:pStyle w:val="Default"/>
        <w:ind w:firstLine="570"/>
        <w:rPr>
          <w:rFonts w:ascii="方正仿宋_GBK" w:eastAsia="方正仿宋_GBK" w:cs="Times New Roman" w:hint="eastAsia"/>
          <w:color w:val="auto"/>
          <w:kern w:val="2"/>
          <w:sz w:val="28"/>
          <w:szCs w:val="28"/>
        </w:rPr>
      </w:pPr>
      <w:r>
        <w:rPr>
          <w:rFonts w:ascii="方正仿宋_GBK" w:eastAsia="方正仿宋_GBK" w:hint="eastAsia"/>
          <w:sz w:val="28"/>
          <w:szCs w:val="28"/>
        </w:rPr>
        <w:t>5.1</w:t>
      </w:r>
      <w:r>
        <w:rPr>
          <w:rFonts w:ascii="方正仿宋_GBK" w:eastAsia="方正仿宋_GBK" w:cs="Times New Roman" w:hint="eastAsia"/>
          <w:color w:val="auto"/>
          <w:kern w:val="2"/>
          <w:sz w:val="28"/>
          <w:szCs w:val="28"/>
          <w:lang w:bidi="ar-SA"/>
        </w:rPr>
        <w:t>采购或运输过程中如有特殊情况，供应商应15分钟之内通知采购人，并在就近网点及时采购，或由内部调配，或经采购人同意调整采购品种，不得影响采购人食堂正常营业。</w:t>
      </w:r>
    </w:p>
    <w:p>
      <w:pPr>
        <w:pStyle w:val="Default"/>
        <w:ind w:firstLine="570"/>
        <w:rPr>
          <w:rFonts w:ascii="方正仿宋_GBK" w:eastAsia="方正仿宋_GBK" w:cs="Times New Roman" w:hint="eastAsia"/>
          <w:color w:val="auto"/>
          <w:kern w:val="2"/>
          <w:sz w:val="28"/>
          <w:szCs w:val="28"/>
        </w:rPr>
      </w:pPr>
      <w:r>
        <w:rPr>
          <w:rFonts w:ascii="方正仿宋_GBK" w:eastAsia="方正仿宋_GBK" w:cs="Times New Roman" w:hint="eastAsia"/>
          <w:color w:val="auto"/>
          <w:kern w:val="2"/>
          <w:sz w:val="28"/>
          <w:szCs w:val="28"/>
          <w:lang w:bidi="ar-SA"/>
        </w:rPr>
        <w:t>5.2供应商所供食品出现质量问题，须无条件予以退货。退货产生的相关费用、损失，由供应商承担。</w:t>
      </w:r>
    </w:p>
    <w:p>
      <w:pPr>
        <w:spacing w:line="400" w:lineRule="exact"/>
        <w:jc w:val="left"/>
        <w:rPr>
          <w:rFonts w:ascii="方正黑体_GBK" w:eastAsia="方正黑体_GBK" w:hint="eastAsia"/>
          <w:b/>
          <w:sz w:val="28"/>
          <w:szCs w:val="28"/>
        </w:rPr>
      </w:pPr>
      <w:r>
        <w:rPr>
          <w:rFonts w:ascii="方正黑体_GBK" w:eastAsia="方正黑体_GBK" w:hint="eastAsia"/>
          <w:b/>
          <w:sz w:val="28"/>
          <w:szCs w:val="28"/>
        </w:rPr>
        <w:t>四、交货期</w:t>
      </w:r>
    </w:p>
    <w:p>
      <w:pPr>
        <w:pStyle w:val="11100"/>
        <w:ind w:firstLine="559"/>
        <w:rPr>
          <w:rFonts w:ascii="等线" w:eastAsia="等线" w:cs="Times New Roman" w:hint="eastAsia"/>
        </w:rPr>
      </w:pPr>
      <w:r>
        <w:rPr>
          <w:rFonts w:ascii="方正仿宋_GBK" w:eastAsia="方正仿宋_GBK" w:hint="eastAsia"/>
          <w:sz w:val="28"/>
          <w:szCs w:val="28"/>
        </w:rPr>
        <w:t>采购人于送货前一天18点前将采购清单微信发给供应商，供应商于次日上午9点30分以前将采购清单列明的食品进行交付。如果采购人采购清单内的食品无法采购，可经采购人确认后进行更换。</w:t>
      </w:r>
    </w:p>
    <w:p>
      <w:pPr>
        <w:spacing w:line="400" w:lineRule="exact"/>
        <w:jc w:val="left"/>
        <w:rPr>
          <w:rFonts w:ascii="方正黑体_GBK" w:eastAsia="方正黑体_GBK" w:hint="eastAsia"/>
          <w:b/>
          <w:sz w:val="28"/>
          <w:szCs w:val="28"/>
        </w:rPr>
      </w:pPr>
      <w:r>
        <w:rPr>
          <w:rFonts w:ascii="方正黑体_GBK" w:eastAsia="方正黑体_GBK" w:hint="eastAsia"/>
          <w:b/>
          <w:sz w:val="28"/>
          <w:szCs w:val="28"/>
        </w:rPr>
        <w:t>五、交货地点</w:t>
      </w:r>
    </w:p>
    <w:p>
      <w:pPr>
        <w:pStyle w:val="11100"/>
        <w:ind w:firstLine="559"/>
        <w:rPr>
          <w:rFonts w:hint="eastAsia"/>
        </w:rPr>
      </w:pPr>
      <w:r>
        <w:rPr>
          <w:rFonts w:ascii="Times New Roman" w:eastAsia="方正仿宋_GBK" w:hAnsi="Times New Roman" w:hint="eastAsia"/>
          <w:sz w:val="28"/>
          <w:szCs w:val="28"/>
        </w:rPr>
        <w:t>顺义区李桥镇临空经济核心区中国电子口岸数据中心顺义办公区。</w:t>
      </w: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六、定价方式</w:t>
      </w:r>
    </w:p>
    <w:p>
      <w:pPr>
        <w:pStyle w:val="11100"/>
        <w:ind w:left="139" w:firstLine="560" w:leftChars="66" w:firstLineChars="200"/>
        <w:rPr>
          <w:rFonts w:ascii="方正仿宋_GBK" w:eastAsia="方正仿宋_GBK" w:cs="Times New Roman"/>
          <w:sz w:val="28"/>
          <w:szCs w:val="28"/>
          <w:lang w:bidi="ar-SA"/>
        </w:rPr>
      </w:pPr>
      <w:r>
        <w:rPr>
          <w:rFonts w:ascii="方正仿宋_GBK" w:eastAsia="方正仿宋_GBK" w:cs="Times New Roman"/>
          <w:b/>
          <w:bCs/>
          <w:sz w:val="28"/>
          <w:szCs w:val="28"/>
          <w:lang w:bidi="ar-SA"/>
        </w:rPr>
        <w:t>投标总价：</w:t>
      </w:r>
      <w:r>
        <w:rPr>
          <w:rFonts w:ascii="方正仿宋_GBK" w:eastAsia="方正仿宋_GBK" w:cs="Times New Roman" w:hint="eastAsia"/>
          <w:sz w:val="28"/>
          <w:szCs w:val="28"/>
          <w:lang w:bidi="ar-SA"/>
        </w:rPr>
        <w:t>以北京创价市场价格信息网( https://www.cjbj1996.com )上各类食材批发价的平均价为基础，</w:t>
      </w:r>
      <w:r>
        <w:rPr>
          <w:rFonts w:ascii="方正仿宋_GBK" w:eastAsia="方正仿宋_GBK" w:cs="Times New Roman"/>
          <w:sz w:val="28"/>
          <w:szCs w:val="28"/>
          <w:lang w:bidi="ar-SA"/>
        </w:rPr>
        <w:t>同时结合</w:t>
      </w:r>
      <w:r>
        <w:rPr>
          <w:rFonts w:ascii="方正仿宋_GBK" w:eastAsia="方正仿宋_GBK" w:cs="Times New Roman" w:hint="eastAsia"/>
          <w:sz w:val="28"/>
          <w:szCs w:val="28"/>
          <w:lang w:bidi="ar-SA"/>
        </w:rPr>
        <w:t>产品价格、运输、装卸、售后服务、搬运费、税金等费用，对采购项目进行报价，</w:t>
      </w:r>
      <w:r>
        <w:rPr>
          <w:rFonts w:ascii="方正仿宋_GBK" w:eastAsia="方正仿宋_GBK" w:cs="Times New Roman"/>
          <w:sz w:val="28"/>
          <w:szCs w:val="28"/>
          <w:lang w:bidi="ar-SA"/>
        </w:rPr>
        <w:t>投标总价不得超过项目预算。</w:t>
      </w:r>
    </w:p>
    <w:p>
      <w:pPr>
        <w:pStyle w:val="11100"/>
        <w:ind w:left="139" w:firstLine="560" w:leftChars="66" w:firstLineChars="200"/>
        <w:rPr>
          <w:rFonts w:ascii="方正仿宋_GBK" w:eastAsia="方正仿宋_GBK" w:cs="Times New Roman" w:hint="eastAsia"/>
          <w:sz w:val="28"/>
          <w:szCs w:val="28"/>
        </w:rPr>
      </w:pPr>
      <w:r>
        <w:rPr>
          <w:rFonts w:ascii="方正仿宋_GBK" w:eastAsia="方正仿宋_GBK" w:cs="Times New Roman" w:hint="eastAsia"/>
          <w:b/>
          <w:bCs/>
          <w:sz w:val="28"/>
          <w:szCs w:val="28"/>
        </w:rPr>
        <w:t>浮动比率的计算方法：</w:t>
      </w:r>
      <w:r>
        <w:rPr>
          <w:rFonts w:ascii="方正仿宋_GBK" w:eastAsia="方正仿宋_GBK" w:cs="Times New Roman" w:hint="eastAsia"/>
          <w:sz w:val="28"/>
          <w:szCs w:val="28"/>
          <w:lang w:bidi="ar-SA"/>
        </w:rPr>
        <w:t>食材平均价视为1，食材结算价格基数为1.1，浮动比率=食材结算价格基数×（投标总价/预算金额），</w:t>
      </w:r>
      <w:r>
        <w:rPr>
          <w:rFonts w:ascii="方正仿宋_GBK" w:eastAsia="方正仿宋_GBK" w:cs="Times New Roman" w:hint="eastAsia"/>
          <w:b/>
          <w:bCs/>
          <w:sz w:val="28"/>
          <w:szCs w:val="28"/>
          <w:lang w:bidi="ar-SA"/>
        </w:rPr>
        <w:t>浮动比率一旦确定，须严格执行，</w:t>
      </w:r>
      <w:r>
        <w:rPr>
          <w:rFonts w:ascii="方正仿宋_GBK" w:eastAsia="方正仿宋_GBK" w:cs="Times New Roman"/>
          <w:b/>
          <w:bCs/>
          <w:sz w:val="28"/>
          <w:szCs w:val="28"/>
          <w:lang w:bidi="ar-SA"/>
        </w:rPr>
        <w:t>供货有效期内</w:t>
      </w:r>
      <w:r>
        <w:rPr>
          <w:rFonts w:ascii="方正仿宋_GBK" w:eastAsia="方正仿宋_GBK" w:cs="Times New Roman" w:hint="eastAsia"/>
          <w:b/>
          <w:bCs/>
          <w:sz w:val="28"/>
          <w:szCs w:val="28"/>
          <w:lang w:bidi="ar-SA"/>
        </w:rPr>
        <w:t>供货商不得私自提高。</w:t>
      </w:r>
    </w:p>
    <w:p>
      <w:pPr>
        <w:pStyle w:val="11100"/>
        <w:ind w:left="139" w:firstLine="560" w:leftChars="66" w:firstLineChars="200"/>
        <w:rPr>
          <w:rFonts w:ascii="方正仿宋_GBK" w:eastAsia="方正仿宋_GBK" w:cs="Times New Roman" w:hint="eastAsia"/>
          <w:sz w:val="28"/>
          <w:szCs w:val="28"/>
        </w:rPr>
      </w:pPr>
      <w:r>
        <w:rPr>
          <w:rFonts w:ascii="方正仿宋_GBK" w:eastAsia="方正仿宋_GBK" w:cs="Times New Roman"/>
          <w:b/>
          <w:bCs/>
          <w:sz w:val="28"/>
          <w:szCs w:val="28"/>
          <w:lang w:bidi="ar-SA"/>
        </w:rPr>
        <w:t>实际结算价格：</w:t>
      </w:r>
      <w:r>
        <w:rPr>
          <w:rFonts w:ascii="方正仿宋_GBK" w:eastAsia="方正仿宋_GBK" w:cs="Times New Roman"/>
          <w:sz w:val="28"/>
          <w:szCs w:val="28"/>
          <w:lang w:bidi="ar-SA"/>
        </w:rPr>
        <w:t>根据</w:t>
      </w:r>
      <w:r>
        <w:rPr>
          <w:rFonts w:ascii="方正仿宋_GBK" w:eastAsia="方正仿宋_GBK" w:cs="Times New Roman" w:hint="eastAsia"/>
          <w:sz w:val="28"/>
          <w:szCs w:val="28"/>
          <w:lang w:bidi="ar-SA"/>
        </w:rPr>
        <w:t>市场供求</w:t>
      </w:r>
      <w:r>
        <w:rPr>
          <w:rFonts w:ascii="方正仿宋_GBK" w:eastAsia="方正仿宋_GBK" w:cs="Times New Roman"/>
          <w:sz w:val="28"/>
          <w:szCs w:val="28"/>
          <w:lang w:bidi="ar-SA"/>
        </w:rPr>
        <w:t>实际情况</w:t>
      </w:r>
      <w:r>
        <w:rPr>
          <w:rFonts w:ascii="方正仿宋_GBK" w:eastAsia="方正仿宋_GBK" w:cs="Times New Roman" w:hint="eastAsia"/>
          <w:sz w:val="28"/>
          <w:szCs w:val="28"/>
          <w:lang w:bidi="ar-SA"/>
        </w:rPr>
        <w:t>，</w:t>
      </w:r>
      <w:r>
        <w:rPr>
          <w:rFonts w:ascii="方正仿宋_GBK" w:eastAsia="方正仿宋_GBK" w:cs="Times New Roman"/>
          <w:sz w:val="28"/>
          <w:szCs w:val="28"/>
          <w:lang w:bidi="ar-SA"/>
        </w:rPr>
        <w:t>中标</w:t>
      </w:r>
      <w:r>
        <w:rPr>
          <w:rFonts w:ascii="方正仿宋_GBK" w:eastAsia="方正仿宋_GBK" w:cs="Times New Roman" w:hint="eastAsia"/>
          <w:sz w:val="28"/>
          <w:szCs w:val="28"/>
          <w:lang w:bidi="ar-SA"/>
        </w:rPr>
        <w:t>供货商每两周可进行一次价格调整，周一</w:t>
      </w:r>
      <w:r>
        <w:rPr>
          <w:rFonts w:ascii="方正仿宋_GBK" w:eastAsia="方正仿宋_GBK" w:cs="Times New Roman"/>
          <w:sz w:val="28"/>
          <w:szCs w:val="28"/>
          <w:lang w:bidi="ar-SA"/>
        </w:rPr>
        <w:t>中标</w:t>
      </w:r>
      <w:r>
        <w:rPr>
          <w:rFonts w:ascii="方正仿宋_GBK" w:eastAsia="方正仿宋_GBK" w:cs="Times New Roman" w:hint="eastAsia"/>
          <w:sz w:val="28"/>
          <w:szCs w:val="28"/>
          <w:lang w:bidi="ar-SA"/>
        </w:rPr>
        <w:t>供货商按照北京创价市场价格信息网公布的各类食材批发价的平均价为基准价，乘以浮动比率，为当期的供应价格，采购人确认价格后，周二开始执行</w:t>
      </w:r>
      <w:r>
        <w:rPr>
          <w:rFonts w:ascii="方正仿宋_GBK" w:eastAsia="方正仿宋_GBK" w:cs="Times New Roman"/>
          <w:sz w:val="28"/>
          <w:szCs w:val="28"/>
          <w:lang w:bidi="ar-SA"/>
        </w:rPr>
        <w:t>此</w:t>
      </w:r>
      <w:r>
        <w:rPr>
          <w:rFonts w:ascii="方正仿宋_GBK" w:eastAsia="方正仿宋_GBK" w:cs="Times New Roman" w:hint="eastAsia"/>
          <w:sz w:val="28"/>
          <w:szCs w:val="28"/>
          <w:lang w:bidi="ar-SA"/>
        </w:rPr>
        <w:t>价格至下次报价当日止。北京创价市场价格信息网</w:t>
      </w:r>
      <w:r>
        <w:rPr>
          <w:rFonts w:ascii="方正仿宋_GBK" w:eastAsia="方正仿宋_GBK" w:cs="Times New Roman"/>
          <w:sz w:val="28"/>
          <w:szCs w:val="28"/>
          <w:lang w:bidi="ar-SA"/>
        </w:rPr>
        <w:t>没有报价的食材</w:t>
      </w:r>
      <w:r>
        <w:rPr>
          <w:rFonts w:ascii="方正仿宋_GBK" w:eastAsia="方正仿宋_GBK" w:cs="Times New Roman" w:hint="eastAsia"/>
          <w:sz w:val="28"/>
          <w:szCs w:val="28"/>
          <w:lang w:bidi="ar-SA"/>
        </w:rPr>
        <w:t>，采取市场询价后双方议价的方式确认，议价商品最终定价不得高于当地市场零售价。</w:t>
      </w:r>
      <w:r>
        <w:rPr>
          <w:rFonts w:ascii="方正仿宋_GBK" w:eastAsia="方正仿宋_GBK" w:cs="Times New Roman" w:hint="eastAsia"/>
          <w:sz w:val="28"/>
          <w:szCs w:val="28"/>
        </w:rPr>
        <w:t>北京创价市场价格信息网信息由中标供应商提供。</w:t>
      </w: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七、食品验收</w:t>
      </w:r>
    </w:p>
    <w:p>
      <w:pPr>
        <w:pStyle w:val="11100"/>
        <w:ind w:firstLine="560" w:firstLineChars="200"/>
        <w:rPr>
          <w:rFonts w:ascii="方正仿宋_GBK" w:eastAsia="方正仿宋_GBK" w:cs="Times New Roman" w:hint="eastAsia"/>
          <w:sz w:val="28"/>
          <w:szCs w:val="28"/>
        </w:rPr>
      </w:pPr>
      <w:r>
        <w:rPr>
          <w:rFonts w:ascii="Times" w:eastAsia="方正仿宋_GBK" w:hAnsi="Times" w:cs="Times New Roman" w:hint="eastAsia"/>
          <w:b/>
          <w:sz w:val="28"/>
          <w:szCs w:val="28"/>
          <w:lang w:bidi="ar-SA"/>
        </w:rPr>
        <w:t>1.验收人员：</w:t>
      </w:r>
      <w:r>
        <w:rPr>
          <w:rFonts w:ascii="方正仿宋_GBK" w:eastAsia="方正仿宋_GBK" w:cs="Times New Roman" w:hint="eastAsia"/>
          <w:sz w:val="28"/>
          <w:szCs w:val="28"/>
          <w:lang w:bidi="ar-SA"/>
        </w:rPr>
        <w:t>由采购人和餐饮团队人员组成的验收小组。</w:t>
      </w:r>
    </w:p>
    <w:p>
      <w:pPr>
        <w:pStyle w:val="11100"/>
        <w:ind w:firstLine="560" w:firstLineChars="200"/>
        <w:rPr>
          <w:rFonts w:ascii="方正仿宋_GBK" w:eastAsia="方正仿宋_GBK" w:cs="Times New Roman" w:hint="eastAsia"/>
          <w:b/>
          <w:sz w:val="28"/>
          <w:szCs w:val="28"/>
        </w:rPr>
      </w:pPr>
      <w:r>
        <w:rPr>
          <w:rFonts w:ascii="方正仿宋_GBK" w:eastAsia="方正仿宋_GBK" w:cs="Times New Roman" w:hint="eastAsia"/>
          <w:b/>
          <w:sz w:val="28"/>
          <w:szCs w:val="28"/>
          <w:lang w:bidi="ar-SA"/>
        </w:rPr>
        <w:t>2.验收时间和地点</w:t>
      </w:r>
    </w:p>
    <w:p>
      <w:pPr>
        <w:pStyle w:val="11100"/>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2.1验收时间：到货当天。</w:t>
      </w:r>
    </w:p>
    <w:p>
      <w:pPr>
        <w:pStyle w:val="11100"/>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2.2验收地点：北京市李桥镇新城29号地中国电子口岸数据中心。</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b/>
          <w:sz w:val="28"/>
          <w:szCs w:val="28"/>
          <w:lang w:bidi="ar-SA"/>
        </w:rPr>
        <w:t>3.验收组织形式：</w:t>
      </w:r>
      <w:r>
        <w:rPr>
          <w:rFonts w:ascii="方正仿宋_GBK" w:eastAsia="方正仿宋_GBK" w:cs="Times New Roman" w:hint="eastAsia"/>
          <w:sz w:val="28"/>
          <w:szCs w:val="28"/>
          <w:lang w:bidi="ar-SA"/>
        </w:rPr>
        <w:t>采购人组织验收。</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b/>
          <w:sz w:val="28"/>
          <w:szCs w:val="28"/>
          <w:lang w:bidi="ar-SA"/>
        </w:rPr>
        <w:t>4.验收方式：</w:t>
      </w:r>
      <w:r>
        <w:rPr>
          <w:rFonts w:ascii="方正仿宋_GBK" w:eastAsia="方正仿宋_GBK" w:cs="Times New Roman" w:hint="eastAsia"/>
          <w:sz w:val="28"/>
          <w:szCs w:val="28"/>
          <w:lang w:bidi="ar-SA"/>
        </w:rPr>
        <w:t>现场验收。</w:t>
      </w:r>
    </w:p>
    <w:p>
      <w:pPr>
        <w:pStyle w:val="11100"/>
        <w:ind w:firstLine="560" w:firstLineChars="200"/>
        <w:rPr>
          <w:rFonts w:ascii="方正仿宋_GBK" w:eastAsia="方正仿宋_GBK" w:cs="Times New Roman" w:hint="eastAsia"/>
          <w:b/>
          <w:sz w:val="28"/>
          <w:szCs w:val="28"/>
        </w:rPr>
      </w:pPr>
      <w:r>
        <w:rPr>
          <w:rFonts w:ascii="方正仿宋_GBK" w:eastAsia="方正仿宋_GBK" w:cs="Times New Roman" w:hint="eastAsia"/>
          <w:b/>
          <w:sz w:val="28"/>
          <w:szCs w:val="28"/>
          <w:lang w:bidi="ar-SA"/>
        </w:rPr>
        <w:t>5.验收内容</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sz w:val="28"/>
          <w:szCs w:val="28"/>
          <w:lang w:bidi="ar-SA"/>
        </w:rPr>
        <w:t>5.1质量是否符合约定标准；</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sz w:val="28"/>
          <w:szCs w:val="28"/>
          <w:lang w:bidi="ar-SA"/>
        </w:rPr>
        <w:t>5.2重量、数量是否与采购人的预定量一致。</w:t>
      </w:r>
    </w:p>
    <w:p>
      <w:pPr>
        <w:pStyle w:val="11100"/>
        <w:ind w:firstLine="560" w:firstLineChars="200"/>
        <w:rPr>
          <w:rFonts w:ascii="方正仿宋_GBK" w:eastAsia="方正仿宋_GBK" w:cs="Times New Roman" w:hint="eastAsia"/>
          <w:b/>
          <w:sz w:val="28"/>
          <w:szCs w:val="28"/>
        </w:rPr>
      </w:pPr>
      <w:r>
        <w:rPr>
          <w:rFonts w:ascii="方正仿宋_GBK" w:eastAsia="方正仿宋_GBK" w:cs="Times New Roman" w:hint="eastAsia"/>
          <w:b/>
          <w:sz w:val="28"/>
          <w:szCs w:val="28"/>
          <w:lang w:bidi="ar-SA"/>
        </w:rPr>
        <w:t>6.其他</w:t>
      </w:r>
    </w:p>
    <w:p>
      <w:pPr>
        <w:pStyle w:val="11100"/>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6.1供应商须向采购人提供食品的详细供货清单，列明食品具体品名、规格、产地、生产商，并对有品质等级要求的食品详细列明品质标准。</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sz w:val="28"/>
          <w:szCs w:val="28"/>
          <w:lang w:bidi="ar-SA"/>
        </w:rPr>
        <w:t>6.2在验收过程中发现数量、重量、质量、保质期、检验票具不全等问题的，要当场提出并与供货商负责人形成解决方案，共同填写《顺义机房保障中心食材验收问题处理单》（详见附件）并签字确认。验收完毕后，双方根据实际交付货物，在送货单上作相应修改并签字确认。送货单有修改的，供应商需重新制作并由双方重新签字。送货单经双方签字确认后，采购人留2份、供应商留1份。</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sz w:val="28"/>
          <w:szCs w:val="28"/>
          <w:lang w:bidi="ar-SA"/>
        </w:rPr>
        <w:t>6.3供应商应根据采购人要求对肉类、鱼类进行相应加工。肉类如切丝、切片、切块、去皮等，活鱼进行宰杀处理，如去麟、去腮、去内脏等。</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sz w:val="28"/>
          <w:szCs w:val="28"/>
          <w:lang w:bidi="ar-SA"/>
        </w:rPr>
        <w:t>6.4鲜活鱼类等水产类需净膛的，统一按0.8的出成率计算净膛价。包装带箱、筐的食材按照去除箱、筐后的重量计算。供应商需配合采购人库管人员进行倒筐称重，共同签字确认。</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sz w:val="28"/>
          <w:szCs w:val="28"/>
          <w:lang w:bidi="ar-SA"/>
        </w:rPr>
        <w:t>6.5符合质量标准并及时交付的，采购人根据当月每天采买金额累计后，次月10个工作日之内进行支付。</w:t>
      </w:r>
    </w:p>
    <w:p>
      <w:pPr>
        <w:pStyle w:val="TOC7"/>
        <w:ind w:left="0" w:firstLine="560" w:firstLineChars="200"/>
        <w:rPr>
          <w:rFonts w:hint="eastAsia"/>
        </w:rPr>
      </w:pPr>
      <w:r>
        <w:rPr>
          <w:rFonts w:ascii="方正仿宋_GBK" w:eastAsia="方正仿宋_GBK" w:hint="eastAsia"/>
          <w:sz w:val="28"/>
          <w:szCs w:val="28"/>
        </w:rPr>
        <w:t>6.6食品的加工、包装、储存、运输、检测、验收、资料及提供的伴随服务等所有成本、费用及税费均由供应商承担。</w:t>
      </w:r>
    </w:p>
    <w:p>
      <w:pPr>
        <w:pStyle w:val="11100"/>
        <w:ind w:firstLine="560" w:firstLineChars="200"/>
        <w:rPr>
          <w:rFonts w:ascii="方正仿宋_GBK" w:eastAsia="方正仿宋_GBK" w:cs="Times New Roman" w:hint="eastAsia"/>
          <w:sz w:val="28"/>
          <w:szCs w:val="28"/>
        </w:rPr>
      </w:pPr>
      <w:r>
        <w:rPr>
          <w:rFonts w:ascii="方正仿宋_GBK" w:eastAsia="方正仿宋_GBK" w:cs="Times New Roman" w:hint="eastAsia"/>
          <w:sz w:val="28"/>
          <w:szCs w:val="28"/>
          <w:lang w:bidi="ar-SA"/>
        </w:rPr>
        <w:t>6.7供应商不得进行任何形式的转包、分包行为。</w:t>
      </w:r>
    </w:p>
    <w:p>
      <w:pPr>
        <w:pStyle w:val="11100"/>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w:t>
      </w:r>
      <w:r>
        <w:rPr>
          <w:rFonts w:ascii="方正黑体_GBK" w:eastAsia="方正黑体_GBK" w:cs="Times New Roman" w:hint="eastAsia"/>
          <w:b/>
          <w:sz w:val="28"/>
          <w:szCs w:val="28"/>
          <w:lang w:bidi="ar-SA"/>
        </w:rPr>
        <w:t>八、违约救济和合同终止</w:t>
      </w:r>
    </w:p>
    <w:p>
      <w:pPr>
        <w:pStyle w:val="11100"/>
        <w:ind w:firstLine="140" w:firstLineChars="50"/>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1.有下列情形之一的，属于供应商违约，按月度总金额的5%扣除违约金：</w:t>
      </w:r>
    </w:p>
    <w:p>
      <w:pPr>
        <w:pStyle w:val="11100"/>
        <w:ind w:firstLine="559"/>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1.1除不可抗力及采购人原因外，供应商延迟交付（包括因验收不合格导致延迟交付的情形）超过半小时；</w:t>
      </w:r>
    </w:p>
    <w:p>
      <w:pPr>
        <w:pStyle w:val="11100"/>
        <w:ind w:firstLine="700" w:firstLineChars="250"/>
        <w:rPr>
          <w:rFonts w:ascii="方正仿宋_GBK" w:eastAsia="方正仿宋_GBK" w:cs="Times New Roman" w:hint="eastAsia"/>
          <w:sz w:val="28"/>
          <w:szCs w:val="28"/>
        </w:rPr>
      </w:pPr>
      <w:r>
        <w:rPr>
          <w:rFonts w:ascii="方正仿宋_GBK" w:eastAsia="方正仿宋_GBK" w:cs="Times New Roman" w:hint="eastAsia"/>
          <w:sz w:val="28"/>
          <w:szCs w:val="28"/>
          <w:lang w:bidi="ar-SA"/>
        </w:rPr>
        <w:t>1.2供应商所供食品不符合本需求中“</w:t>
      </w:r>
      <w:r>
        <w:rPr>
          <w:rFonts w:ascii="Times" w:eastAsia="方正仿宋_GBK" w:hAnsi="Times"/>
          <w:b/>
          <w:bCs/>
          <w:sz w:val="28"/>
          <w:szCs w:val="28"/>
        </w:rPr>
        <w:t>货物质量及服务标准</w:t>
      </w:r>
      <w:r>
        <w:rPr>
          <w:rFonts w:ascii="方正仿宋_GBK" w:eastAsia="方正仿宋_GBK" w:cs="Times New Roman" w:hint="eastAsia"/>
          <w:sz w:val="28"/>
          <w:szCs w:val="28"/>
          <w:lang w:bidi="ar-SA"/>
        </w:rPr>
        <w:t>”和“</w:t>
      </w:r>
      <w:r>
        <w:rPr>
          <w:rFonts w:ascii="Times" w:eastAsia="方正仿宋_GBK" w:hAnsi="Times" w:cs="Times New Roman" w:hint="eastAsia"/>
          <w:b/>
          <w:bCs/>
          <w:sz w:val="28"/>
          <w:szCs w:val="28"/>
          <w:lang w:bidi="ar-SA"/>
        </w:rPr>
        <w:t>各类食材验收质量标准</w:t>
      </w:r>
      <w:r>
        <w:rPr>
          <w:rFonts w:ascii="方正仿宋_GBK" w:eastAsia="方正仿宋_GBK" w:cs="Times New Roman" w:hint="eastAsia"/>
          <w:sz w:val="28"/>
          <w:szCs w:val="28"/>
          <w:lang w:bidi="ar-SA"/>
        </w:rPr>
        <w:t>”的要求。</w:t>
      </w:r>
    </w:p>
    <w:p>
      <w:pPr>
        <w:pStyle w:val="11100"/>
        <w:ind w:firstLine="559"/>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2.有下列情形之一的，属于供应商严重违约，除扣除月度总金额30%的违约金外，采购人有权解除合同，造成采购人经济损失或食品卫生事故的，由供应商承担全部经济损失和相关责任：</w:t>
      </w:r>
    </w:p>
    <w:p>
      <w:pPr>
        <w:pStyle w:val="11100"/>
        <w:ind w:firstLine="559"/>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2.1除不可抗力及采购人原因外，供应商延迟交付（包括因验收不合格导致延迟交付的情形）超过半小时的次数大于2次（含2次）；</w:t>
      </w:r>
    </w:p>
    <w:p>
      <w:pPr>
        <w:pStyle w:val="11100"/>
        <w:ind w:firstLine="559"/>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2.2供应商所供食品不符合本需求中“</w:t>
      </w:r>
      <w:r>
        <w:rPr>
          <w:rFonts w:ascii="Times" w:eastAsia="方正仿宋_GBK" w:hAnsi="Times"/>
          <w:b/>
          <w:bCs/>
          <w:sz w:val="28"/>
          <w:szCs w:val="28"/>
        </w:rPr>
        <w:t>货物质量及服务标准</w:t>
      </w:r>
      <w:r>
        <w:rPr>
          <w:rFonts w:ascii="方正仿宋_GBK" w:eastAsia="方正仿宋_GBK" w:cs="Times New Roman" w:hint="eastAsia"/>
          <w:sz w:val="28"/>
          <w:szCs w:val="28"/>
          <w:lang w:bidi="ar-SA"/>
        </w:rPr>
        <w:t>”和“</w:t>
      </w:r>
      <w:r>
        <w:rPr>
          <w:rFonts w:ascii="Times" w:eastAsia="方正仿宋_GBK" w:hAnsi="Times" w:cs="Times New Roman" w:hint="eastAsia"/>
          <w:b/>
          <w:bCs/>
          <w:sz w:val="28"/>
          <w:szCs w:val="28"/>
          <w:lang w:bidi="ar-SA"/>
        </w:rPr>
        <w:t>各类食材验收质量标准</w:t>
      </w:r>
      <w:r>
        <w:rPr>
          <w:rFonts w:ascii="方正仿宋_GBK" w:eastAsia="方正仿宋_GBK" w:cs="Times New Roman" w:hint="eastAsia"/>
          <w:sz w:val="28"/>
          <w:szCs w:val="28"/>
          <w:lang w:bidi="ar-SA"/>
        </w:rPr>
        <w:t>”的要求，且经退货补齐后仍不符合上述要求；</w:t>
      </w:r>
    </w:p>
    <w:p>
      <w:pPr>
        <w:pStyle w:val="11100"/>
        <w:ind w:firstLine="559"/>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2.3供应商所供食品出现卫生问题，发生食物中毒或其他事故；</w:t>
      </w:r>
    </w:p>
    <w:p>
      <w:pPr>
        <w:pStyle w:val="11100"/>
        <w:ind w:firstLine="559"/>
        <w:rPr>
          <w:rFonts w:ascii="方正仿宋_GBK" w:eastAsia="方正仿宋_GBK" w:cs="Times New Roman" w:hint="eastAsia"/>
          <w:sz w:val="28"/>
          <w:szCs w:val="28"/>
        </w:rPr>
      </w:pPr>
      <w:r>
        <w:rPr>
          <w:rFonts w:ascii="方正仿宋_GBK" w:eastAsia="方正仿宋_GBK" w:cs="Times New Roman" w:hint="eastAsia"/>
          <w:sz w:val="28"/>
          <w:szCs w:val="28"/>
          <w:lang w:bidi="ar-SA"/>
        </w:rPr>
        <w:t xml:space="preserve"> 2.4供应商以书面、微信、短信等方式正式通知采购人不再供货，包括对部分食材不再供货；</w:t>
      </w:r>
    </w:p>
    <w:p>
      <w:pPr>
        <w:pStyle w:val="11100"/>
        <w:ind w:firstLine="697" w:firstLineChars="249"/>
        <w:rPr>
          <w:rFonts w:ascii="方正仿宋_GBK" w:eastAsia="方正仿宋_GBK" w:cs="Times New Roman" w:hint="eastAsia"/>
          <w:sz w:val="28"/>
          <w:szCs w:val="28"/>
        </w:rPr>
      </w:pPr>
      <w:r>
        <w:rPr>
          <w:rFonts w:ascii="方正仿宋_GBK" w:eastAsia="方正仿宋_GBK" w:cs="Times New Roman" w:hint="eastAsia"/>
          <w:sz w:val="28"/>
          <w:szCs w:val="28"/>
          <w:lang w:bidi="ar-SA"/>
        </w:rPr>
        <w:t>2.5供应商虽未正式通知采购人不再供货，但1天没有供货，包括对部分食材没有供货；</w:t>
      </w:r>
    </w:p>
    <w:p>
      <w:pPr>
        <w:pStyle w:val="TOC7"/>
        <w:ind w:left="0" w:firstLine="523"/>
        <w:rPr>
          <w:rFonts w:ascii="方正仿宋_GBK" w:eastAsia="方正仿宋_GBK" w:hint="eastAsia"/>
          <w:sz w:val="28"/>
          <w:szCs w:val="28"/>
        </w:rPr>
      </w:pPr>
      <w:r>
        <w:rPr>
          <w:rFonts w:hint="eastAsia"/>
        </w:rPr>
        <w:t xml:space="preserve"> </w:t>
      </w:r>
      <w:r>
        <w:rPr>
          <w:rFonts w:ascii="方正仿宋_GBK" w:eastAsia="方正仿宋_GBK" w:hint="eastAsia"/>
          <w:sz w:val="28"/>
          <w:szCs w:val="28"/>
        </w:rPr>
        <w:t>2.6供应商单方面要求提价的。</w:t>
      </w:r>
    </w:p>
    <w:p>
      <w:pPr>
        <w:pStyle w:val="TOC7"/>
        <w:ind w:left="0"/>
        <w:rPr>
          <w:rFonts w:ascii="宋体" w:eastAsia="宋体" w:cs="宋体" w:hint="eastAsia"/>
          <w:sz w:val="36"/>
          <w:lang w:bidi="ar-SA"/>
        </w:rPr>
      </w:pPr>
      <w:bookmarkStart w:id="43" w:name="_GoBack"/>
      <w:bookmarkEnd w:id="43"/>
    </w:p>
    <w:p>
      <w:pPr>
        <w:pStyle w:val="TOC7"/>
        <w:ind w:left="0"/>
        <w:rPr>
          <w:rFonts w:ascii="宋体" w:eastAsia="宋体" w:cs="宋体" w:hint="eastAsia"/>
          <w:sz w:val="36"/>
          <w:lang w:bidi="ar-SA"/>
        </w:rPr>
      </w:pPr>
    </w:p>
    <w:p>
      <w:pPr>
        <w:ind w:left="0"/>
      </w:pPr>
    </w:p>
    <w:p>
      <w:pPr>
        <w:ind w:left="0"/>
      </w:pPr>
    </w:p>
    <w:p>
      <w:pPr>
        <w:ind w:left="0"/>
      </w:pPr>
    </w:p>
    <w:p>
      <w:pPr>
        <w:ind w:left="0"/>
      </w:pPr>
    </w:p>
    <w:p>
      <w:pPr>
        <w:ind w:left="0"/>
      </w:pPr>
    </w:p>
    <w:p>
      <w:pPr>
        <w:ind w:left="0"/>
      </w:pPr>
    </w:p>
    <w:p>
      <w:pPr>
        <w:ind w:left="0"/>
      </w:pPr>
    </w:p>
    <w:p>
      <w:pPr>
        <w:pStyle w:val="TOC7"/>
        <w:ind w:left="0"/>
        <w:rPr>
          <w:rFonts w:ascii="宋体" w:eastAsia="宋体" w:cs="宋体" w:hint="eastAsia"/>
          <w:sz w:val="36"/>
          <w:lang w:bidi="ar-SA"/>
        </w:rPr>
      </w:pPr>
    </w:p>
    <w:p>
      <w:pPr>
        <w:pStyle w:val="TOC7"/>
        <w:ind w:left="0"/>
        <w:rPr>
          <w:rFonts w:ascii="宋体" w:eastAsia="宋体" w:cs="宋体" w:hint="eastAsia"/>
          <w:sz w:val="36"/>
          <w:lang w:bidi="ar-SA"/>
        </w:rPr>
      </w:pPr>
      <w:r>
        <w:rPr>
          <w:rFonts w:ascii="宋体" w:eastAsia="宋体" w:cs="宋体" w:hint="eastAsia"/>
          <w:sz w:val="36"/>
          <w:lang w:bidi="ar-SA"/>
        </w:rPr>
        <w:t>附件一：顺义机房保障中心食材验收问题处理单</w:t>
      </w:r>
    </w:p>
    <w:tbl>
      <w:tblPr>
        <w:tblW w:w="9825" w:type="dxa"/>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560"/>
        <w:gridCol w:w="1155"/>
        <w:gridCol w:w="1155"/>
        <w:gridCol w:w="1155"/>
        <w:gridCol w:w="1335"/>
        <w:gridCol w:w="1155"/>
        <w:gridCol w:w="1155"/>
        <w:gridCol w:w="1155"/>
      </w:tblGrid>
      <w:tr>
        <w:tblPrEx>
          <w:tblW w:w="9825" w:type="dxa"/>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615"/>
          <w:jc w:val="left"/>
        </w:trPr>
        <w:tc>
          <w:tcPr>
            <w:tcW w:w="9825" w:type="dxa"/>
            <w:gridSpan w:val="8"/>
            <w:tcBorders>
              <w:top w:val="nil"/>
              <w:left w:val="nil"/>
              <w:bottom w:val="nil"/>
              <w:right w:val="nil"/>
            </w:tcBorders>
            <w:noWrap/>
            <w:vAlign w:val="center"/>
          </w:tcPr>
          <w:p>
            <w:pPr>
              <w:jc w:val="center"/>
              <w:rPr>
                <w:rFonts w:ascii="宋体" w:eastAsia="宋体" w:cs="宋体" w:hint="eastAsia"/>
                <w:sz w:val="36"/>
              </w:rPr>
            </w:pPr>
          </w:p>
          <w:p>
            <w:pPr>
              <w:jc w:val="center"/>
              <w:rPr>
                <w:rFonts w:ascii="宋体" w:eastAsia="宋体" w:cs="宋体" w:hint="eastAsia"/>
                <w:sz w:val="36"/>
              </w:rPr>
            </w:pPr>
            <w:r>
              <w:rPr>
                <w:rFonts w:ascii="方正黑体_GBK" w:eastAsia="方正黑体_GBK" w:hint="eastAsia"/>
                <w:b/>
                <w:sz w:val="28"/>
                <w:szCs w:val="28"/>
              </w:rPr>
              <w:t>顺义机房保障中心食材验收问题处理单</w:t>
            </w:r>
          </w:p>
        </w:tc>
      </w:tr>
      <w:tr>
        <w:tblPrEx>
          <w:tblW w:w="9825" w:type="dxa"/>
          <w:jc w:val="left"/>
          <w:tblInd w:w="0" w:type="dxa"/>
          <w:tblCellMar>
            <w:top w:w="0" w:type="dxa"/>
            <w:left w:w="108" w:type="dxa"/>
            <w:bottom w:w="0" w:type="dxa"/>
            <w:right w:w="108" w:type="dxa"/>
          </w:tblCellMar>
        </w:tblPrEx>
        <w:trPr>
          <w:trHeight w:val="690"/>
          <w:jc w:val="left"/>
        </w:trPr>
        <w:tc>
          <w:tcPr>
            <w:tcW w:w="1560" w:type="dxa"/>
            <w:tcBorders>
              <w:top w:val="single" w:sz="6" w:space="0" w:color="auto"/>
              <w:left w:val="single" w:sz="6" w:space="0" w:color="auto"/>
              <w:bottom w:val="single" w:sz="6" w:space="0" w:color="auto"/>
              <w:right w:val="single" w:sz="6" w:space="0" w:color="auto"/>
            </w:tcBorders>
            <w:noWrap/>
            <w:vAlign w:val="center"/>
          </w:tcPr>
          <w:p>
            <w:pPr>
              <w:jc w:val="center"/>
              <w:rPr>
                <w:rFonts w:ascii="宋体" w:eastAsia="宋体" w:cs="宋体" w:hint="eastAsia"/>
                <w:sz w:val="22"/>
              </w:rPr>
            </w:pPr>
            <w:r>
              <w:rPr>
                <w:rFonts w:ascii="宋体" w:eastAsia="宋体" w:cs="宋体" w:hint="eastAsia"/>
                <w:sz w:val="22"/>
                <w:lang w:bidi="ar-SA"/>
              </w:rPr>
              <w:t>供货商</w:t>
            </w:r>
          </w:p>
        </w:tc>
        <w:tc>
          <w:tcPr>
            <w:tcW w:w="3465" w:type="dxa"/>
            <w:gridSpan w:val="3"/>
            <w:tcBorders>
              <w:top w:val="single" w:sz="6" w:space="0" w:color="auto"/>
              <w:left w:val="single" w:sz="6" w:space="0" w:color="auto"/>
              <w:bottom w:val="single" w:sz="6" w:space="0" w:color="auto"/>
              <w:right w:val="single" w:sz="6" w:space="0" w:color="auto"/>
            </w:tcBorders>
            <w:noWrap/>
            <w:vAlign w:val="center"/>
          </w:tcPr>
          <w:p>
            <w:pPr>
              <w:jc w:val="center"/>
              <w:rPr>
                <w:rFonts w:ascii="宋体" w:eastAsia="宋体" w:cs="宋体" w:hint="eastAsia"/>
                <w:sz w:val="22"/>
              </w:rPr>
            </w:pPr>
          </w:p>
        </w:tc>
        <w:tc>
          <w:tcPr>
            <w:tcW w:w="1335" w:type="dxa"/>
            <w:tcBorders>
              <w:top w:val="single" w:sz="6" w:space="0" w:color="auto"/>
              <w:left w:val="single" w:sz="6" w:space="0" w:color="auto"/>
              <w:bottom w:val="single" w:sz="6" w:space="0" w:color="auto"/>
              <w:right w:val="single" w:sz="6" w:space="0" w:color="auto"/>
            </w:tcBorders>
            <w:noWrap/>
            <w:vAlign w:val="center"/>
          </w:tcPr>
          <w:p>
            <w:pPr>
              <w:jc w:val="right"/>
              <w:rPr>
                <w:rFonts w:ascii="宋体" w:eastAsia="宋体" w:cs="宋体" w:hint="eastAsia"/>
                <w:sz w:val="22"/>
              </w:rPr>
            </w:pPr>
            <w:r>
              <w:rPr>
                <w:rFonts w:ascii="宋体" w:eastAsia="宋体" w:cs="宋体" w:hint="eastAsia"/>
                <w:sz w:val="22"/>
                <w:lang w:bidi="ar-SA"/>
              </w:rPr>
              <w:t>日期</w:t>
            </w:r>
          </w:p>
        </w:tc>
        <w:tc>
          <w:tcPr>
            <w:tcW w:w="1155" w:type="dxa"/>
            <w:tcBorders>
              <w:top w:val="single" w:sz="6" w:space="0" w:color="auto"/>
              <w:left w:val="single" w:sz="6" w:space="0" w:color="auto"/>
              <w:bottom w:val="single" w:sz="6" w:space="0" w:color="auto"/>
              <w:right w:val="single" w:sz="6" w:space="0" w:color="auto"/>
            </w:tcBorders>
            <w:noWrap/>
            <w:vAlign w:val="center"/>
          </w:tcPr>
          <w:p>
            <w:pPr>
              <w:jc w:val="right"/>
              <w:rPr>
                <w:rFonts w:ascii="宋体" w:eastAsia="宋体" w:cs="宋体" w:hint="eastAsia"/>
                <w:sz w:val="22"/>
              </w:rPr>
            </w:pPr>
            <w:r>
              <w:rPr>
                <w:rFonts w:ascii="宋体" w:eastAsia="宋体" w:cs="宋体" w:hint="eastAsia"/>
                <w:sz w:val="22"/>
                <w:lang w:bidi="ar-SA"/>
              </w:rPr>
              <w:t>年</w:t>
            </w:r>
          </w:p>
        </w:tc>
        <w:tc>
          <w:tcPr>
            <w:tcW w:w="1155" w:type="dxa"/>
            <w:tcBorders>
              <w:top w:val="single" w:sz="6" w:space="0" w:color="auto"/>
              <w:left w:val="single" w:sz="6" w:space="0" w:color="auto"/>
              <w:bottom w:val="single" w:sz="6" w:space="0" w:color="auto"/>
              <w:right w:val="single" w:sz="6" w:space="0" w:color="auto"/>
            </w:tcBorders>
            <w:noWrap/>
            <w:vAlign w:val="center"/>
          </w:tcPr>
          <w:p>
            <w:pPr>
              <w:jc w:val="right"/>
              <w:rPr>
                <w:rFonts w:ascii="宋体" w:eastAsia="宋体" w:cs="宋体" w:hint="eastAsia"/>
                <w:sz w:val="22"/>
              </w:rPr>
            </w:pPr>
            <w:r>
              <w:rPr>
                <w:rFonts w:ascii="宋体" w:eastAsia="宋体" w:cs="宋体" w:hint="eastAsia"/>
                <w:sz w:val="22"/>
                <w:lang w:bidi="ar-SA"/>
              </w:rPr>
              <w:t>月</w:t>
            </w:r>
          </w:p>
        </w:tc>
        <w:tc>
          <w:tcPr>
            <w:tcW w:w="1155" w:type="dxa"/>
            <w:tcBorders>
              <w:top w:val="single" w:sz="6" w:space="0" w:color="auto"/>
              <w:left w:val="single" w:sz="6" w:space="0" w:color="auto"/>
              <w:bottom w:val="single" w:sz="6" w:space="0" w:color="auto"/>
              <w:right w:val="single" w:sz="6" w:space="0" w:color="auto"/>
            </w:tcBorders>
            <w:noWrap/>
            <w:vAlign w:val="center"/>
          </w:tcPr>
          <w:p>
            <w:pPr>
              <w:jc w:val="right"/>
              <w:rPr>
                <w:rFonts w:ascii="宋体" w:eastAsia="宋体" w:cs="宋体" w:hint="eastAsia"/>
                <w:sz w:val="22"/>
              </w:rPr>
            </w:pPr>
            <w:r>
              <w:rPr>
                <w:rFonts w:ascii="宋体" w:eastAsia="宋体" w:cs="宋体" w:hint="eastAsia"/>
                <w:sz w:val="22"/>
                <w:lang w:bidi="ar-SA"/>
              </w:rPr>
              <w:t>日</w:t>
            </w:r>
          </w:p>
        </w:tc>
      </w:tr>
      <w:tr>
        <w:tblPrEx>
          <w:tblW w:w="9825" w:type="dxa"/>
          <w:jc w:val="left"/>
          <w:tblInd w:w="0" w:type="dxa"/>
          <w:tblCellMar>
            <w:top w:w="0" w:type="dxa"/>
            <w:left w:w="108" w:type="dxa"/>
            <w:bottom w:w="0" w:type="dxa"/>
            <w:right w:w="108" w:type="dxa"/>
          </w:tblCellMar>
        </w:tblPrEx>
        <w:trPr>
          <w:trHeight w:val="1604"/>
          <w:jc w:val="left"/>
        </w:trPr>
        <w:tc>
          <w:tcPr>
            <w:tcW w:w="1560" w:type="dxa"/>
            <w:tcBorders>
              <w:top w:val="single" w:sz="6" w:space="0" w:color="auto"/>
              <w:left w:val="single" w:sz="6" w:space="0" w:color="auto"/>
              <w:bottom w:val="single" w:sz="6" w:space="0" w:color="auto"/>
              <w:right w:val="single" w:sz="6" w:space="0" w:color="auto"/>
            </w:tcBorders>
            <w:noWrap/>
            <w:vAlign w:val="center"/>
          </w:tcPr>
          <w:p>
            <w:pPr>
              <w:jc w:val="center"/>
              <w:rPr>
                <w:rFonts w:ascii="宋体" w:eastAsia="宋体" w:cs="宋体" w:hint="eastAsia"/>
                <w:sz w:val="22"/>
              </w:rPr>
            </w:pPr>
            <w:r>
              <w:rPr>
                <w:rFonts w:ascii="宋体" w:eastAsia="宋体" w:cs="宋体" w:hint="eastAsia"/>
                <w:sz w:val="22"/>
                <w:lang w:bidi="ar-SA"/>
              </w:rPr>
              <w:t>验收问题</w:t>
            </w:r>
          </w:p>
        </w:tc>
        <w:tc>
          <w:tcPr>
            <w:tcW w:w="8265" w:type="dxa"/>
            <w:gridSpan w:val="7"/>
            <w:tcBorders>
              <w:top w:val="single" w:sz="6" w:space="0" w:color="auto"/>
              <w:left w:val="single" w:sz="6" w:space="0" w:color="auto"/>
              <w:bottom w:val="single" w:sz="6" w:space="0" w:color="auto"/>
              <w:right w:val="single" w:sz="6" w:space="0" w:color="auto"/>
            </w:tcBorders>
            <w:noWrap/>
            <w:vAlign w:val="center"/>
          </w:tcPr>
          <w:p>
            <w:pPr>
              <w:jc w:val="center"/>
              <w:rPr>
                <w:rFonts w:ascii="宋体" w:eastAsia="宋体" w:cs="宋体" w:hint="eastAsia"/>
                <w:sz w:val="22"/>
              </w:rPr>
            </w:pPr>
          </w:p>
        </w:tc>
      </w:tr>
      <w:tr>
        <w:tblPrEx>
          <w:tblW w:w="9825" w:type="dxa"/>
          <w:jc w:val="left"/>
          <w:tblInd w:w="0" w:type="dxa"/>
          <w:tblCellMar>
            <w:top w:w="0" w:type="dxa"/>
            <w:left w:w="108" w:type="dxa"/>
            <w:bottom w:w="0" w:type="dxa"/>
            <w:right w:w="108" w:type="dxa"/>
          </w:tblCellMar>
        </w:tblPrEx>
        <w:trPr>
          <w:trHeight w:val="1857"/>
          <w:jc w:val="left"/>
        </w:trPr>
        <w:tc>
          <w:tcPr>
            <w:tcW w:w="1560" w:type="dxa"/>
            <w:tcBorders>
              <w:top w:val="single" w:sz="6" w:space="0" w:color="auto"/>
              <w:left w:val="single" w:sz="6" w:space="0" w:color="auto"/>
              <w:bottom w:val="single" w:sz="6" w:space="0" w:color="auto"/>
              <w:right w:val="single" w:sz="6" w:space="0" w:color="auto"/>
            </w:tcBorders>
            <w:noWrap/>
            <w:vAlign w:val="center"/>
          </w:tcPr>
          <w:p>
            <w:pPr>
              <w:jc w:val="center"/>
              <w:rPr>
                <w:rFonts w:ascii="宋体" w:eastAsia="宋体" w:cs="宋体" w:hint="eastAsia"/>
                <w:sz w:val="22"/>
              </w:rPr>
            </w:pPr>
            <w:r>
              <w:rPr>
                <w:rFonts w:ascii="宋体" w:eastAsia="宋体" w:cs="宋体" w:hint="eastAsia"/>
                <w:sz w:val="22"/>
                <w:lang w:bidi="ar-SA"/>
              </w:rPr>
              <w:t>处理方式</w:t>
            </w:r>
          </w:p>
        </w:tc>
        <w:tc>
          <w:tcPr>
            <w:tcW w:w="8265" w:type="dxa"/>
            <w:gridSpan w:val="7"/>
            <w:tcBorders>
              <w:top w:val="single" w:sz="6" w:space="0" w:color="auto"/>
              <w:left w:val="single" w:sz="6" w:space="0" w:color="auto"/>
              <w:bottom w:val="single" w:sz="6" w:space="0" w:color="auto"/>
              <w:right w:val="single" w:sz="6" w:space="0" w:color="auto"/>
            </w:tcBorders>
            <w:noWrap/>
            <w:vAlign w:val="center"/>
          </w:tcPr>
          <w:p>
            <w:pPr>
              <w:jc w:val="center"/>
              <w:rPr>
                <w:rFonts w:ascii="宋体" w:eastAsia="宋体" w:cs="宋体" w:hint="eastAsia"/>
                <w:sz w:val="22"/>
              </w:rPr>
            </w:pPr>
          </w:p>
        </w:tc>
      </w:tr>
      <w:tr>
        <w:tblPrEx>
          <w:tblW w:w="9825" w:type="dxa"/>
          <w:jc w:val="left"/>
          <w:tblInd w:w="0" w:type="dxa"/>
          <w:tblCellMar>
            <w:top w:w="0" w:type="dxa"/>
            <w:left w:w="108" w:type="dxa"/>
            <w:bottom w:w="0" w:type="dxa"/>
            <w:right w:w="108" w:type="dxa"/>
          </w:tblCellMar>
        </w:tblPrEx>
        <w:trPr>
          <w:trHeight w:val="525"/>
          <w:jc w:val="left"/>
        </w:trPr>
        <w:tc>
          <w:tcPr>
            <w:tcW w:w="1560"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宋体" w:eastAsia="宋体" w:cs="宋体" w:hint="eastAsia"/>
              </w:rPr>
            </w:pPr>
            <w:r>
              <w:rPr>
                <w:rFonts w:ascii="宋体" w:eastAsia="宋体" w:cs="宋体" w:hint="eastAsia"/>
                <w:sz w:val="24"/>
                <w:lang w:bidi="ar-SA"/>
              </w:rPr>
              <w:t>甲方负责人：</w:t>
            </w:r>
          </w:p>
        </w:tc>
        <w:tc>
          <w:tcPr>
            <w:tcW w:w="115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c>
          <w:tcPr>
            <w:tcW w:w="133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宋体" w:eastAsia="宋体" w:cs="宋体" w:hint="eastAsia"/>
              </w:rPr>
            </w:pPr>
            <w:r>
              <w:rPr>
                <w:rFonts w:ascii="宋体" w:eastAsia="宋体" w:cs="宋体" w:hint="eastAsia"/>
                <w:sz w:val="24"/>
                <w:lang w:bidi="ar-SA"/>
              </w:rPr>
              <w:t>乙方负责人：</w:t>
            </w:r>
          </w:p>
        </w:tc>
        <w:tc>
          <w:tcPr>
            <w:tcW w:w="115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r>
      <w:tr>
        <w:tblPrEx>
          <w:tblW w:w="9825" w:type="dxa"/>
          <w:jc w:val="left"/>
          <w:tblInd w:w="0" w:type="dxa"/>
          <w:tblCellMar>
            <w:top w:w="0" w:type="dxa"/>
            <w:left w:w="108" w:type="dxa"/>
            <w:bottom w:w="0" w:type="dxa"/>
            <w:right w:w="108" w:type="dxa"/>
          </w:tblCellMar>
        </w:tblPrEx>
        <w:trPr>
          <w:trHeight w:val="1005"/>
          <w:jc w:val="left"/>
        </w:trPr>
        <w:tc>
          <w:tcPr>
            <w:tcW w:w="1560"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c>
          <w:tcPr>
            <w:tcW w:w="133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c>
          <w:tcPr>
            <w:tcW w:w="1155" w:type="dxa"/>
            <w:tcBorders>
              <w:top w:val="nil"/>
              <w:left w:val="nil"/>
              <w:bottom w:val="nil"/>
              <w:right w:val="nil"/>
            </w:tcBorders>
            <w:noWrap/>
            <w:vAlign w:val="center"/>
          </w:tcPr>
          <w:p>
            <w:pPr>
              <w:rPr>
                <w:rFonts w:ascii="Times New Roman" w:eastAsia="宋体" w:hAnsi="Times New Roman"/>
              </w:rPr>
            </w:pPr>
          </w:p>
        </w:tc>
      </w:tr>
    </w:tbl>
    <w:p>
      <w:pPr>
        <w:rPr>
          <w:rFonts w:ascii="宋体" w:eastAsia="宋体" w:cs="宋体" w:hint="eastAsia"/>
          <w:sz w:val="36"/>
        </w:rPr>
      </w:pPr>
    </w:p>
    <w:p>
      <w:pPr>
        <w:rPr>
          <w:rFonts w:ascii="宋体" w:eastAsia="宋体" w:cs="宋体" w:hint="eastAsia"/>
          <w:sz w:val="36"/>
        </w:rPr>
      </w:pPr>
      <w:r>
        <w:rPr>
          <w:rFonts w:ascii="宋体" w:eastAsia="宋体" w:cs="宋体" w:hint="eastAsia"/>
          <w:sz w:val="36"/>
          <w:lang w:bidi="ar-SA"/>
        </w:rPr>
        <w:t>附件二：各类食材验收质量标准</w:t>
      </w:r>
    </w:p>
    <w:p>
      <w:pPr>
        <w:rPr>
          <w:rFonts w:hint="eastAsia"/>
        </w:rPr>
      </w:pPr>
      <w:r>
        <w:rPr>
          <w:rFonts w:ascii="方正仿宋_GBK" w:eastAsia="方正仿宋_GBK" w:hint="eastAsia"/>
          <w:sz w:val="28"/>
          <w:szCs w:val="28"/>
        </w:rPr>
        <w:t>1.畜禽肉质</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0"/>
        <w:gridCol w:w="7284"/>
      </w:tblGrid>
      <w:tr>
        <w:tblPrEx>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品名</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五花肉</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带皮的肥瘦肉，肌肉与脂肪相间多层。大五花（瘦型）：中方去掉肋排后，将奶脯边缘切整齐，肋排处的膘厚3CM以内。小五花：将肋排去掉，然后将肋排去掉后的那块肥膘也去掉，剩下的部分修掉边角。</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普通通脊</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圆而长的通脊肉，色泽鲜艳，无注水，筋膜，白色脂肪，肉质细嫩、紧密。</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排骨</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带少量肉，不得剔除，不带肥油，厚实、完整，骨肉不分离。纯排骨：去除脊骨。腔排骨：帯脊骨的排骨。小排：猪腹部附近的猪排骨，上侧为肋排骨和子排，小排肉较厚，有白色软肋。子排：腹部连接背部的部分，子排肉层很厚，位于五花上面，排骨为30厘米，为三角形斜片。</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带肉腔骨</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除去排骨的猪脊骨，带肉，新鲜，无变质，无异味，肉质鲜嫩，有弹性。</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前猪蹄</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干净、完整、无毛、无黑斑、无指甲，表皮光滑，肉质有弹性，颜色为白色或黄色，蹄筋未抽。</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猪肝</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肝叶完整、暗红，质地柔软、湿润、有光泽，边缘薄。</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猪心</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心冠脂肪洁白，组织结实、有弹性，用手可挤出鲜红的血液和血凝结块。</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猪肺</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内呈红色，有光泽。</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猪腰</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表面有一层光亮的薄膜，呈浅红色，柔软、有光泽、有弹性。</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猪大肠</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呈浅黄，无黑斑，柔软，表面光滑湿润，无异物，极小味道。</w:t>
            </w:r>
          </w:p>
        </w:tc>
      </w:tr>
      <w:tr>
        <w:tblPrEx>
          <w:jc w:val="left"/>
          <w:tblInd w:w="108" w:type="dxa"/>
          <w:tblLayout w:type="fixed"/>
          <w:tblCellMar>
            <w:top w:w="0" w:type="dxa"/>
            <w:left w:w="108" w:type="dxa"/>
            <w:bottom w:w="0" w:type="dxa"/>
            <w:right w:w="108" w:type="dxa"/>
          </w:tblCellMar>
        </w:tblPrEx>
        <w:trPr>
          <w:cantSplit/>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猪肚</w:t>
            </w:r>
          </w:p>
        </w:tc>
        <w:tc>
          <w:tcPr>
            <w:tcW w:w="7284" w:type="dxa"/>
            <w:tcBorders>
              <w:top w:val="single" w:sz="4" w:space="0" w:color="auto"/>
              <w:left w:val="single" w:sz="4" w:space="0" w:color="auto"/>
              <w:bottom w:val="single" w:sz="4" w:space="0" w:color="auto"/>
              <w:right w:val="single" w:sz="4" w:space="0" w:color="auto"/>
            </w:tcBorders>
            <w:vAlign w:val="center"/>
          </w:tcPr>
          <w:p>
            <w:pPr>
              <w:pStyle w:val="4101"/>
              <w:jc w:val="left"/>
              <w:rPr>
                <w:rFonts w:ascii="方正仿宋_GBK" w:eastAsia="方正仿宋_GBK" w:hint="eastAsia"/>
                <w:sz w:val="28"/>
                <w:szCs w:val="28"/>
              </w:rPr>
            </w:pPr>
            <w:r>
              <w:rPr>
                <w:rFonts w:ascii="方正仿宋_GBK" w:eastAsia="方正仿宋_GBK" w:hint="eastAsia"/>
                <w:sz w:val="28"/>
                <w:szCs w:val="28"/>
              </w:rPr>
              <w:t>呈浅白，色泽光润，不带肥油，内部干净，无异物，极小味道。</w:t>
            </w:r>
          </w:p>
        </w:tc>
      </w:tr>
    </w:tbl>
    <w:p>
      <w:pPr>
        <w:pStyle w:val="4101"/>
        <w:rPr>
          <w:rFonts w:ascii="方正仿宋_GBK" w:eastAsia="方正仿宋_GBK" w:hint="eastAsia"/>
          <w:sz w:val="28"/>
          <w:szCs w:val="28"/>
        </w:rPr>
      </w:pP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0"/>
        <w:gridCol w:w="7233"/>
      </w:tblGrid>
      <w:tr>
        <w:tblPrEx>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080"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品名</w:t>
            </w:r>
          </w:p>
        </w:tc>
        <w:tc>
          <w:tcPr>
            <w:tcW w:w="7233"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left"/>
          <w:tblInd w:w="108" w:type="dxa"/>
          <w:tblLayout w:type="fixed"/>
          <w:tblCellMar>
            <w:top w:w="0" w:type="dxa"/>
            <w:left w:w="108" w:type="dxa"/>
            <w:bottom w:w="0" w:type="dxa"/>
            <w:right w:w="108" w:type="dxa"/>
          </w:tblCellMar>
        </w:tblPrEx>
        <w:trPr>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鲜牛肉</w:t>
            </w:r>
          </w:p>
        </w:tc>
        <w:tc>
          <w:tcPr>
            <w:tcW w:w="723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肉色深红，肉质有弹性，指压后凹陷部分能立刻恢复；切面有光泽及微湿润，极少渗出物；脂肪白色或乳白色，具有浓郁的牛肉气味；无寄生虫，无注水。</w:t>
            </w:r>
          </w:p>
        </w:tc>
      </w:tr>
    </w:tbl>
    <w:p>
      <w:pPr>
        <w:rPr>
          <w:rFonts w:hint="eastAsia"/>
        </w:rPr>
      </w:pP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80"/>
        <w:gridCol w:w="7233"/>
      </w:tblGrid>
      <w:tr>
        <w:tblPrEx>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080"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 xml:space="preserve"> 品名</w:t>
            </w:r>
          </w:p>
        </w:tc>
        <w:tc>
          <w:tcPr>
            <w:tcW w:w="7233"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left"/>
          <w:tblInd w:w="108" w:type="dxa"/>
          <w:tblLayout w:type="fixed"/>
          <w:tblCellMar>
            <w:top w:w="0" w:type="dxa"/>
            <w:left w:w="108" w:type="dxa"/>
            <w:bottom w:w="0" w:type="dxa"/>
            <w:right w:w="108" w:type="dxa"/>
          </w:tblCellMar>
        </w:tblPrEx>
        <w:trPr>
          <w:jc w:val="left"/>
        </w:trPr>
        <w:tc>
          <w:tcPr>
            <w:tcW w:w="1080"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鲜羊肉</w:t>
            </w:r>
          </w:p>
        </w:tc>
        <w:tc>
          <w:tcPr>
            <w:tcW w:w="723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颜色深红色或淡红色，弹性好，指压后凹陷能立即恢复，有光泽，肉质纤维细软，不黏手，少有脂肪夹杂；脂肪白色或乳白色，有羊肉的膻气；无寄生虫，无注水。</w:t>
            </w:r>
          </w:p>
        </w:tc>
      </w:tr>
    </w:tbl>
    <w:p>
      <w:pPr>
        <w:pStyle w:val="4101"/>
        <w:rPr>
          <w:rFonts w:ascii="方正仿宋_GBK" w:eastAsia="方正仿宋_GBK" w:hint="eastAsia"/>
          <w:sz w:val="28"/>
          <w:szCs w:val="28"/>
        </w:rPr>
      </w:pP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7371"/>
      </w:tblGrid>
      <w:tr>
        <w:tblPrEx>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6"/>
          <w:jc w:val="left"/>
        </w:trPr>
        <w:tc>
          <w:tcPr>
            <w:tcW w:w="993"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品名</w:t>
            </w:r>
          </w:p>
        </w:tc>
        <w:tc>
          <w:tcPr>
            <w:tcW w:w="7371"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left"/>
          <w:tblInd w:w="108" w:type="dxa"/>
          <w:tblLayout w:type="fixed"/>
          <w:tblCellMar>
            <w:top w:w="0" w:type="dxa"/>
            <w:left w:w="108" w:type="dxa"/>
            <w:bottom w:w="0" w:type="dxa"/>
            <w:right w:w="108" w:type="dxa"/>
          </w:tblCellMar>
        </w:tblPrEx>
        <w:trPr>
          <w:jc w:val="left"/>
        </w:trPr>
        <w:tc>
          <w:tcPr>
            <w:tcW w:w="993"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鲜鸡</w:t>
            </w:r>
          </w:p>
        </w:tc>
        <w:tc>
          <w:tcPr>
            <w:tcW w:w="7371"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鸡肚内无一切内脏，眼球饱满，皮肤有光泽，因品种不同而呈淡黄、淡红、灰白或灰黑等色，肌肉切面发光；外表微干或微湿润，不粘手；指压后凹陷能立即恢复，具有鲜鸡肉正常气味，淤血斑无或极少，无打水症状，无破皮，鸡的翼部或鸡关节不能有骨折和因骨折破皮而使骨头外露。</w:t>
            </w:r>
          </w:p>
        </w:tc>
      </w:tr>
    </w:tbl>
    <w:p>
      <w:pPr>
        <w:pStyle w:val="4101"/>
        <w:rPr>
          <w:rFonts w:ascii="方正仿宋_GBK" w:eastAsia="方正仿宋_GBK" w:hint="eastAsia"/>
          <w:sz w:val="28"/>
          <w:szCs w:val="28"/>
        </w:rPr>
      </w:pP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7371"/>
      </w:tblGrid>
      <w:tr>
        <w:tblPrEx>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993"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品名</w:t>
            </w:r>
          </w:p>
        </w:tc>
        <w:tc>
          <w:tcPr>
            <w:tcW w:w="7371"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left"/>
          <w:tblInd w:w="108" w:type="dxa"/>
          <w:tblLayout w:type="fixed"/>
          <w:tblCellMar>
            <w:top w:w="0" w:type="dxa"/>
            <w:left w:w="108" w:type="dxa"/>
            <w:bottom w:w="0" w:type="dxa"/>
            <w:right w:w="108" w:type="dxa"/>
          </w:tblCellMar>
        </w:tblPrEx>
        <w:trPr>
          <w:jc w:val="left"/>
        </w:trPr>
        <w:tc>
          <w:tcPr>
            <w:tcW w:w="993"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鲜鸭</w:t>
            </w:r>
          </w:p>
        </w:tc>
        <w:tc>
          <w:tcPr>
            <w:tcW w:w="7371"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表皮光滑有光泽，肉质弹性好且丰满，表皮无毛或少毛，无破皮、无花皮、无明显淤块；无注水；肚内无一切内脏，无血水，无异味。</w:t>
            </w:r>
          </w:p>
        </w:tc>
      </w:tr>
    </w:tbl>
    <w:p>
      <w:pPr>
        <w:rPr>
          <w:rFonts w:ascii="方正仿宋_GBK" w:eastAsia="方正仿宋_GBK" w:hint="eastAsia"/>
          <w:sz w:val="28"/>
          <w:szCs w:val="28"/>
        </w:rPr>
      </w:pPr>
      <w:r>
        <w:rPr>
          <w:rFonts w:ascii="方正仿宋_GBK" w:eastAsia="方正仿宋_GBK" w:hint="eastAsia"/>
          <w:sz w:val="28"/>
          <w:szCs w:val="28"/>
        </w:rPr>
        <w:t>2.水产品</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275"/>
        <w:gridCol w:w="6179"/>
      </w:tblGrid>
      <w:tr>
        <w:tblPrEx>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425"/>
          <w:jc w:val="center"/>
        </w:trPr>
        <w:tc>
          <w:tcPr>
            <w:tcW w:w="1275" w:type="dxa"/>
            <w:tcBorders>
              <w:top w:val="single" w:sz="4" w:space="0" w:color="auto"/>
              <w:left w:val="single" w:sz="4" w:space="0" w:color="auto"/>
              <w:bottom w:val="single" w:sz="4" w:space="0" w:color="auto"/>
              <w:right w:val="single" w:sz="4" w:space="0" w:color="auto"/>
            </w:tcBorders>
            <w:vAlign w:val="bottom"/>
          </w:tcPr>
          <w:p>
            <w:pPr>
              <w:pStyle w:val="4101"/>
              <w:rPr>
                <w:rFonts w:ascii="方正仿宋_GBK" w:eastAsia="方正仿宋_GBK" w:hint="eastAsia"/>
                <w:sz w:val="28"/>
                <w:szCs w:val="28"/>
              </w:rPr>
            </w:pPr>
            <w:r>
              <w:rPr>
                <w:rFonts w:ascii="方正仿宋_GBK" w:eastAsia="方正仿宋_GBK" w:hint="eastAsia"/>
                <w:sz w:val="28"/>
                <w:szCs w:val="28"/>
              </w:rPr>
              <w:t xml:space="preserve">  项目</w:t>
            </w:r>
          </w:p>
        </w:tc>
        <w:tc>
          <w:tcPr>
            <w:tcW w:w="6179" w:type="dxa"/>
            <w:tcBorders>
              <w:top w:val="single" w:sz="4" w:space="0" w:color="auto"/>
              <w:left w:val="nil"/>
              <w:bottom w:val="single" w:sz="4" w:space="0" w:color="auto"/>
              <w:right w:val="single" w:sz="4" w:space="0" w:color="auto"/>
            </w:tcBorders>
            <w:vAlign w:val="center"/>
          </w:tcPr>
          <w:p>
            <w:pPr>
              <w:pStyle w:val="4101"/>
              <w:spacing w:line="320" w:lineRule="exact"/>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center"/>
          <w:tblLayout w:type="fixed"/>
          <w:tblCellMar>
            <w:top w:w="0" w:type="dxa"/>
            <w:left w:w="108" w:type="dxa"/>
            <w:bottom w:w="0" w:type="dxa"/>
            <w:right w:w="108" w:type="dxa"/>
          </w:tblCellMar>
        </w:tblPrEx>
        <w:trPr>
          <w:trHeight w:val="425"/>
          <w:jc w:val="center"/>
        </w:trPr>
        <w:tc>
          <w:tcPr>
            <w:tcW w:w="1275" w:type="dxa"/>
            <w:tcBorders>
              <w:top w:val="nil"/>
              <w:left w:val="single" w:sz="4" w:space="0" w:color="auto"/>
              <w:bottom w:val="single" w:sz="4" w:space="0" w:color="auto"/>
              <w:right w:val="single" w:sz="4" w:space="0" w:color="auto"/>
            </w:tcBorders>
            <w:vAlign w:val="center"/>
          </w:tcPr>
          <w:p>
            <w:pPr>
              <w:pStyle w:val="4101"/>
              <w:spacing w:line="320" w:lineRule="exact"/>
              <w:jc w:val="center"/>
              <w:rPr>
                <w:rFonts w:ascii="方正仿宋_GBK" w:eastAsia="方正仿宋_GBK" w:hint="eastAsia"/>
                <w:sz w:val="28"/>
                <w:szCs w:val="28"/>
              </w:rPr>
            </w:pPr>
            <w:r>
              <w:rPr>
                <w:rFonts w:ascii="方正仿宋_GBK" w:eastAsia="方正仿宋_GBK" w:hint="eastAsia"/>
                <w:sz w:val="28"/>
                <w:szCs w:val="28"/>
              </w:rPr>
              <w:t>体表</w:t>
            </w:r>
          </w:p>
        </w:tc>
        <w:tc>
          <w:tcPr>
            <w:tcW w:w="6179" w:type="dxa"/>
            <w:tcBorders>
              <w:top w:val="nil"/>
              <w:left w:val="nil"/>
              <w:bottom w:val="single" w:sz="4" w:space="0" w:color="auto"/>
              <w:right w:val="single" w:sz="4" w:space="0" w:color="auto"/>
            </w:tcBorders>
            <w:vAlign w:val="center"/>
          </w:tcPr>
          <w:p>
            <w:pPr>
              <w:pStyle w:val="4101"/>
              <w:spacing w:line="320" w:lineRule="exact"/>
              <w:jc w:val="left"/>
              <w:rPr>
                <w:rFonts w:ascii="方正仿宋_GBK" w:eastAsia="方正仿宋_GBK" w:hint="eastAsia"/>
                <w:sz w:val="28"/>
                <w:szCs w:val="28"/>
              </w:rPr>
            </w:pPr>
            <w:r>
              <w:rPr>
                <w:rFonts w:ascii="方正仿宋_GBK" w:eastAsia="方正仿宋_GBK" w:hint="eastAsia"/>
                <w:sz w:val="28"/>
                <w:szCs w:val="28"/>
              </w:rPr>
              <w:t>有光泽，鳞片完整，不易脱落</w:t>
            </w:r>
          </w:p>
        </w:tc>
      </w:tr>
      <w:tr>
        <w:tblPrEx>
          <w:jc w:val="center"/>
          <w:tblLayout w:type="fixed"/>
          <w:tblCellMar>
            <w:top w:w="0" w:type="dxa"/>
            <w:left w:w="108" w:type="dxa"/>
            <w:bottom w:w="0" w:type="dxa"/>
            <w:right w:w="108" w:type="dxa"/>
          </w:tblCellMar>
        </w:tblPrEx>
        <w:trPr>
          <w:trHeight w:val="390"/>
          <w:jc w:val="center"/>
        </w:trPr>
        <w:tc>
          <w:tcPr>
            <w:tcW w:w="1275" w:type="dxa"/>
            <w:tcBorders>
              <w:top w:val="nil"/>
              <w:left w:val="single" w:sz="4" w:space="0" w:color="auto"/>
              <w:bottom w:val="single" w:sz="4" w:space="0" w:color="auto"/>
              <w:right w:val="single" w:sz="4" w:space="0" w:color="auto"/>
            </w:tcBorders>
            <w:vAlign w:val="center"/>
          </w:tcPr>
          <w:p>
            <w:pPr>
              <w:pStyle w:val="4101"/>
              <w:spacing w:line="320" w:lineRule="exact"/>
              <w:jc w:val="center"/>
              <w:rPr>
                <w:rFonts w:ascii="方正仿宋_GBK" w:eastAsia="方正仿宋_GBK" w:hint="eastAsia"/>
                <w:sz w:val="28"/>
                <w:szCs w:val="28"/>
              </w:rPr>
            </w:pPr>
            <w:r>
              <w:rPr>
                <w:rFonts w:ascii="方正仿宋_GBK" w:eastAsia="方正仿宋_GBK" w:hint="eastAsia"/>
                <w:sz w:val="28"/>
                <w:szCs w:val="28"/>
              </w:rPr>
              <w:t>鳃</w:t>
            </w:r>
          </w:p>
        </w:tc>
        <w:tc>
          <w:tcPr>
            <w:tcW w:w="6179" w:type="dxa"/>
            <w:tcBorders>
              <w:top w:val="nil"/>
              <w:left w:val="nil"/>
              <w:bottom w:val="single" w:sz="4" w:space="0" w:color="auto"/>
              <w:right w:val="single" w:sz="4" w:space="0" w:color="auto"/>
            </w:tcBorders>
            <w:vAlign w:val="center"/>
          </w:tcPr>
          <w:p>
            <w:pPr>
              <w:pStyle w:val="4101"/>
              <w:spacing w:line="320" w:lineRule="exact"/>
              <w:jc w:val="left"/>
              <w:rPr>
                <w:rFonts w:ascii="方正仿宋_GBK" w:eastAsia="方正仿宋_GBK" w:hint="eastAsia"/>
                <w:sz w:val="28"/>
                <w:szCs w:val="28"/>
              </w:rPr>
            </w:pPr>
            <w:r>
              <w:rPr>
                <w:rFonts w:ascii="方正仿宋_GBK" w:eastAsia="方正仿宋_GBK" w:hint="eastAsia"/>
                <w:sz w:val="28"/>
                <w:szCs w:val="28"/>
              </w:rPr>
              <w:t>色鲜红，鳃丝清晰，具固有腥味</w:t>
            </w:r>
          </w:p>
        </w:tc>
      </w:tr>
      <w:tr>
        <w:tblPrEx>
          <w:jc w:val="center"/>
          <w:tblLayout w:type="fixed"/>
          <w:tblCellMar>
            <w:top w:w="0" w:type="dxa"/>
            <w:left w:w="108" w:type="dxa"/>
            <w:bottom w:w="0" w:type="dxa"/>
            <w:right w:w="108" w:type="dxa"/>
          </w:tblCellMar>
        </w:tblPrEx>
        <w:trPr>
          <w:trHeight w:val="431"/>
          <w:jc w:val="center"/>
        </w:trPr>
        <w:tc>
          <w:tcPr>
            <w:tcW w:w="1275" w:type="dxa"/>
            <w:tcBorders>
              <w:top w:val="nil"/>
              <w:left w:val="single" w:sz="4" w:space="0" w:color="auto"/>
              <w:bottom w:val="single" w:sz="4" w:space="0" w:color="auto"/>
              <w:right w:val="single" w:sz="4" w:space="0" w:color="auto"/>
            </w:tcBorders>
            <w:vAlign w:val="center"/>
          </w:tcPr>
          <w:p>
            <w:pPr>
              <w:pStyle w:val="4101"/>
              <w:spacing w:line="320" w:lineRule="exact"/>
              <w:jc w:val="center"/>
              <w:rPr>
                <w:rFonts w:ascii="方正仿宋_GBK" w:eastAsia="方正仿宋_GBK" w:hint="eastAsia"/>
                <w:sz w:val="28"/>
                <w:szCs w:val="28"/>
              </w:rPr>
            </w:pPr>
            <w:r>
              <w:rPr>
                <w:rFonts w:ascii="方正仿宋_GBK" w:eastAsia="方正仿宋_GBK" w:hint="eastAsia"/>
                <w:sz w:val="28"/>
                <w:szCs w:val="28"/>
              </w:rPr>
              <w:t>眼</w:t>
            </w:r>
          </w:p>
        </w:tc>
        <w:tc>
          <w:tcPr>
            <w:tcW w:w="6179" w:type="dxa"/>
            <w:tcBorders>
              <w:top w:val="nil"/>
              <w:left w:val="nil"/>
              <w:bottom w:val="single" w:sz="4" w:space="0" w:color="auto"/>
              <w:right w:val="single" w:sz="4" w:space="0" w:color="auto"/>
            </w:tcBorders>
            <w:vAlign w:val="center"/>
          </w:tcPr>
          <w:p>
            <w:pPr>
              <w:pStyle w:val="4101"/>
              <w:spacing w:line="320" w:lineRule="exact"/>
              <w:jc w:val="left"/>
              <w:rPr>
                <w:rFonts w:ascii="方正仿宋_GBK" w:eastAsia="方正仿宋_GBK" w:hint="eastAsia"/>
                <w:sz w:val="28"/>
                <w:szCs w:val="28"/>
              </w:rPr>
            </w:pPr>
            <w:r>
              <w:rPr>
                <w:rFonts w:ascii="方正仿宋_GBK" w:eastAsia="方正仿宋_GBK" w:hint="eastAsia"/>
                <w:sz w:val="28"/>
                <w:szCs w:val="28"/>
              </w:rPr>
              <w:t>眼球饱满，角膜透明</w:t>
            </w:r>
          </w:p>
        </w:tc>
      </w:tr>
      <w:tr>
        <w:tblPrEx>
          <w:jc w:val="center"/>
          <w:tblLayout w:type="fixed"/>
          <w:tblCellMar>
            <w:top w:w="0" w:type="dxa"/>
            <w:left w:w="108" w:type="dxa"/>
            <w:bottom w:w="0" w:type="dxa"/>
            <w:right w:w="108" w:type="dxa"/>
          </w:tblCellMar>
        </w:tblPrEx>
        <w:trPr>
          <w:trHeight w:val="393"/>
          <w:jc w:val="center"/>
        </w:trPr>
        <w:tc>
          <w:tcPr>
            <w:tcW w:w="1275" w:type="dxa"/>
            <w:tcBorders>
              <w:top w:val="nil"/>
              <w:left w:val="single" w:sz="4" w:space="0" w:color="auto"/>
              <w:bottom w:val="single" w:sz="4" w:space="0" w:color="auto"/>
              <w:right w:val="single" w:sz="4" w:space="0" w:color="auto"/>
            </w:tcBorders>
            <w:vAlign w:val="center"/>
          </w:tcPr>
          <w:p>
            <w:pPr>
              <w:pStyle w:val="4101"/>
              <w:spacing w:line="320" w:lineRule="exact"/>
              <w:jc w:val="center"/>
              <w:rPr>
                <w:rFonts w:ascii="方正仿宋_GBK" w:eastAsia="方正仿宋_GBK" w:hint="eastAsia"/>
                <w:sz w:val="28"/>
                <w:szCs w:val="28"/>
              </w:rPr>
            </w:pPr>
            <w:r>
              <w:rPr>
                <w:rFonts w:ascii="方正仿宋_GBK" w:eastAsia="方正仿宋_GBK" w:hint="eastAsia"/>
                <w:sz w:val="28"/>
                <w:szCs w:val="28"/>
              </w:rPr>
              <w:t>肌肉</w:t>
            </w:r>
          </w:p>
        </w:tc>
        <w:tc>
          <w:tcPr>
            <w:tcW w:w="6179" w:type="dxa"/>
            <w:tcBorders>
              <w:top w:val="nil"/>
              <w:left w:val="nil"/>
              <w:bottom w:val="single" w:sz="4" w:space="0" w:color="auto"/>
              <w:right w:val="single" w:sz="4" w:space="0" w:color="auto"/>
            </w:tcBorders>
            <w:vAlign w:val="center"/>
          </w:tcPr>
          <w:p>
            <w:pPr>
              <w:pStyle w:val="4101"/>
              <w:spacing w:line="320" w:lineRule="exact"/>
              <w:jc w:val="left"/>
              <w:rPr>
                <w:rFonts w:ascii="方正仿宋_GBK" w:eastAsia="方正仿宋_GBK" w:hint="eastAsia"/>
                <w:sz w:val="28"/>
                <w:szCs w:val="28"/>
              </w:rPr>
            </w:pPr>
            <w:r>
              <w:rPr>
                <w:rFonts w:ascii="方正仿宋_GBK" w:eastAsia="方正仿宋_GBK" w:hint="eastAsia"/>
                <w:sz w:val="28"/>
                <w:szCs w:val="28"/>
              </w:rPr>
              <w:t>坚实，有弹性</w:t>
            </w:r>
          </w:p>
        </w:tc>
      </w:tr>
      <w:tr>
        <w:tblPrEx>
          <w:jc w:val="center"/>
          <w:tblLayout w:type="fixed"/>
          <w:tblCellMar>
            <w:top w:w="0" w:type="dxa"/>
            <w:left w:w="108" w:type="dxa"/>
            <w:bottom w:w="0" w:type="dxa"/>
            <w:right w:w="108" w:type="dxa"/>
          </w:tblCellMar>
        </w:tblPrEx>
        <w:trPr>
          <w:trHeight w:val="483"/>
          <w:jc w:val="center"/>
        </w:trPr>
        <w:tc>
          <w:tcPr>
            <w:tcW w:w="1275" w:type="dxa"/>
            <w:tcBorders>
              <w:top w:val="single" w:sz="4" w:space="0" w:color="auto"/>
              <w:left w:val="single" w:sz="4" w:space="0" w:color="auto"/>
              <w:bottom w:val="single" w:sz="4" w:space="0" w:color="auto"/>
              <w:right w:val="single" w:sz="4" w:space="0" w:color="auto"/>
            </w:tcBorders>
            <w:vAlign w:val="center"/>
          </w:tcPr>
          <w:p>
            <w:pPr>
              <w:pStyle w:val="4101"/>
              <w:spacing w:line="320" w:lineRule="exact"/>
              <w:jc w:val="center"/>
              <w:rPr>
                <w:rFonts w:ascii="方正仿宋_GBK" w:eastAsia="方正仿宋_GBK" w:hint="eastAsia"/>
                <w:sz w:val="28"/>
                <w:szCs w:val="28"/>
              </w:rPr>
            </w:pPr>
            <w:r>
              <w:rPr>
                <w:rFonts w:ascii="方正仿宋_GBK" w:eastAsia="方正仿宋_GBK" w:hint="eastAsia"/>
                <w:sz w:val="28"/>
                <w:szCs w:val="28"/>
              </w:rPr>
              <w:t>肛门</w:t>
            </w:r>
          </w:p>
        </w:tc>
        <w:tc>
          <w:tcPr>
            <w:tcW w:w="6179" w:type="dxa"/>
            <w:tcBorders>
              <w:top w:val="single" w:sz="4" w:space="0" w:color="auto"/>
              <w:left w:val="nil"/>
              <w:bottom w:val="single" w:sz="4" w:space="0" w:color="auto"/>
              <w:right w:val="single" w:sz="4" w:space="0" w:color="auto"/>
            </w:tcBorders>
            <w:vAlign w:val="center"/>
          </w:tcPr>
          <w:p>
            <w:pPr>
              <w:pStyle w:val="4101"/>
              <w:spacing w:line="320" w:lineRule="exact"/>
              <w:jc w:val="left"/>
              <w:rPr>
                <w:rFonts w:ascii="方正仿宋_GBK" w:eastAsia="方正仿宋_GBK" w:hint="eastAsia"/>
                <w:sz w:val="28"/>
                <w:szCs w:val="28"/>
              </w:rPr>
            </w:pPr>
            <w:r>
              <w:rPr>
                <w:rFonts w:ascii="方正仿宋_GBK" w:eastAsia="方正仿宋_GBK" w:hint="eastAsia"/>
                <w:sz w:val="28"/>
                <w:szCs w:val="28"/>
              </w:rPr>
              <w:t>紧缩（雌鱼产卵期除外）</w:t>
            </w:r>
          </w:p>
        </w:tc>
      </w:tr>
    </w:tbl>
    <w:p>
      <w:pPr>
        <w:rPr>
          <w:rFonts w:ascii="方正仿宋_GBK" w:eastAsia="方正仿宋_GBK" w:hint="eastAsia"/>
          <w:sz w:val="28"/>
          <w:szCs w:val="28"/>
        </w:rPr>
      </w:pPr>
      <w:r>
        <w:rPr>
          <w:rFonts w:ascii="方正仿宋_GBK" w:eastAsia="方正仿宋_GBK" w:hint="eastAsia"/>
          <w:sz w:val="28"/>
          <w:szCs w:val="28"/>
        </w:rPr>
        <w:t>3.冻品</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9"/>
        <w:gridCol w:w="7166"/>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209"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品名</w:t>
            </w:r>
          </w:p>
        </w:tc>
        <w:tc>
          <w:tcPr>
            <w:tcW w:w="7166"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left"/>
          <w:tblInd w:w="0" w:type="dxa"/>
          <w:tblLayout w:type="fixed"/>
          <w:tblCellMar>
            <w:top w:w="0" w:type="dxa"/>
            <w:left w:w="108" w:type="dxa"/>
            <w:bottom w:w="0" w:type="dxa"/>
            <w:right w:w="108" w:type="dxa"/>
          </w:tblCellMar>
        </w:tblPrEx>
        <w:trPr>
          <w:cantSplit/>
          <w:jc w:val="left"/>
        </w:trPr>
        <w:tc>
          <w:tcPr>
            <w:tcW w:w="120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冻猪肉</w:t>
            </w:r>
          </w:p>
        </w:tc>
        <w:tc>
          <w:tcPr>
            <w:tcW w:w="7166"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肌肉色红均匀，有光泽，脂肪洁白，无霉点；肉质紧密，有坚实感；外表及切面微湿润，不粘手；解冻后，指压后凹陷能立即恢复；无异味；外包装完好。</w:t>
            </w:r>
          </w:p>
        </w:tc>
      </w:tr>
      <w:tr>
        <w:tblPrEx>
          <w:jc w:val="left"/>
          <w:tblInd w:w="0" w:type="dxa"/>
          <w:tblLayout w:type="fixed"/>
          <w:tblCellMar>
            <w:top w:w="0" w:type="dxa"/>
            <w:left w:w="108" w:type="dxa"/>
            <w:bottom w:w="0" w:type="dxa"/>
            <w:right w:w="108" w:type="dxa"/>
          </w:tblCellMar>
        </w:tblPrEx>
        <w:trPr>
          <w:jc w:val="left"/>
        </w:trPr>
        <w:tc>
          <w:tcPr>
            <w:tcW w:w="1209" w:type="dxa"/>
            <w:tcBorders>
              <w:top w:val="single" w:sz="4" w:space="0" w:color="auto"/>
              <w:left w:val="single" w:sz="4" w:space="0" w:color="auto"/>
              <w:bottom w:val="single" w:sz="4" w:space="0" w:color="auto"/>
              <w:right w:val="single" w:sz="4" w:space="0" w:color="auto"/>
            </w:tcBorders>
            <w:vAlign w:val="center"/>
          </w:tcPr>
          <w:p>
            <w:pPr>
              <w:pStyle w:val="71100"/>
              <w:jc w:val="center"/>
              <w:rPr>
                <w:rFonts w:ascii="方正仿宋_GBK" w:eastAsia="方正仿宋_GBK" w:hint="eastAsia"/>
                <w:sz w:val="28"/>
                <w:szCs w:val="28"/>
              </w:rPr>
            </w:pPr>
            <w:r>
              <w:rPr>
                <w:rFonts w:ascii="方正仿宋_GBK" w:eastAsia="方正仿宋_GBK" w:hint="eastAsia"/>
                <w:sz w:val="28"/>
                <w:szCs w:val="28"/>
              </w:rPr>
              <w:t>猪耳</w:t>
            </w:r>
          </w:p>
        </w:tc>
        <w:tc>
          <w:tcPr>
            <w:tcW w:w="7166" w:type="dxa"/>
            <w:tcBorders>
              <w:top w:val="single" w:sz="4" w:space="0" w:color="auto"/>
              <w:left w:val="single" w:sz="4" w:space="0" w:color="auto"/>
              <w:bottom w:val="single" w:sz="4" w:space="0" w:color="auto"/>
              <w:right w:val="single" w:sz="4" w:space="0" w:color="auto"/>
            </w:tcBorders>
          </w:tcPr>
          <w:p>
            <w:pPr>
              <w:pStyle w:val="7210"/>
              <w:rPr>
                <w:rFonts w:ascii="方正仿宋_GBK" w:eastAsia="方正仿宋_GBK" w:hint="eastAsia"/>
                <w:sz w:val="28"/>
                <w:szCs w:val="28"/>
              </w:rPr>
            </w:pPr>
            <w:r>
              <w:rPr>
                <w:rFonts w:ascii="方正仿宋_GBK" w:eastAsia="方正仿宋_GBK" w:hint="eastAsia"/>
                <w:sz w:val="28"/>
                <w:szCs w:val="28"/>
              </w:rPr>
              <w:t>无毛或少毛，色泽正常，无异味。</w:t>
            </w:r>
          </w:p>
        </w:tc>
      </w:tr>
      <w:tr>
        <w:tblPrEx>
          <w:jc w:val="left"/>
          <w:tblInd w:w="0" w:type="dxa"/>
          <w:tblLayout w:type="fixed"/>
          <w:tblCellMar>
            <w:top w:w="0" w:type="dxa"/>
            <w:left w:w="108" w:type="dxa"/>
            <w:bottom w:w="0" w:type="dxa"/>
            <w:right w:w="108" w:type="dxa"/>
          </w:tblCellMar>
        </w:tblPrEx>
        <w:trPr>
          <w:jc w:val="left"/>
        </w:trPr>
        <w:tc>
          <w:tcPr>
            <w:tcW w:w="1209" w:type="dxa"/>
            <w:tcBorders>
              <w:top w:val="single" w:sz="4" w:space="0" w:color="auto"/>
              <w:left w:val="single" w:sz="4" w:space="0" w:color="auto"/>
              <w:bottom w:val="single" w:sz="4" w:space="0" w:color="auto"/>
              <w:right w:val="single" w:sz="4" w:space="0" w:color="auto"/>
            </w:tcBorders>
            <w:vAlign w:val="center"/>
          </w:tcPr>
          <w:p>
            <w:pPr>
              <w:pStyle w:val="7310"/>
              <w:jc w:val="center"/>
              <w:rPr>
                <w:rFonts w:ascii="方正仿宋_GBK" w:eastAsia="方正仿宋_GBK" w:hint="eastAsia"/>
                <w:sz w:val="28"/>
                <w:szCs w:val="28"/>
              </w:rPr>
            </w:pPr>
            <w:r>
              <w:rPr>
                <w:rFonts w:ascii="方正仿宋_GBK" w:eastAsia="方正仿宋_GBK" w:hint="eastAsia"/>
                <w:sz w:val="28"/>
                <w:szCs w:val="28"/>
              </w:rPr>
              <w:t>猪副产品</w:t>
            </w:r>
          </w:p>
        </w:tc>
        <w:tc>
          <w:tcPr>
            <w:tcW w:w="7166" w:type="dxa"/>
            <w:tcBorders>
              <w:top w:val="single" w:sz="4" w:space="0" w:color="auto"/>
              <w:left w:val="single" w:sz="4" w:space="0" w:color="auto"/>
              <w:bottom w:val="single" w:sz="4" w:space="0" w:color="auto"/>
              <w:right w:val="single" w:sz="4" w:space="0" w:color="auto"/>
            </w:tcBorders>
          </w:tcPr>
          <w:p>
            <w:pPr>
              <w:pStyle w:val="7410"/>
              <w:rPr>
                <w:rFonts w:ascii="方正仿宋_GBK" w:eastAsia="方正仿宋_GBK" w:hint="eastAsia"/>
                <w:sz w:val="28"/>
                <w:szCs w:val="28"/>
              </w:rPr>
            </w:pPr>
            <w:r>
              <w:rPr>
                <w:rFonts w:ascii="方正仿宋_GBK" w:eastAsia="方正仿宋_GBK" w:hint="eastAsia"/>
                <w:sz w:val="28"/>
                <w:szCs w:val="28"/>
              </w:rPr>
              <w:t>无冻干脱水发暗迹象，其它同鲜猪肉副产品。</w:t>
            </w:r>
          </w:p>
        </w:tc>
      </w:tr>
      <w:tr>
        <w:tblPrEx>
          <w:jc w:val="left"/>
          <w:tblInd w:w="0" w:type="dxa"/>
          <w:tblLayout w:type="fixed"/>
          <w:tblCellMar>
            <w:top w:w="0" w:type="dxa"/>
            <w:left w:w="108" w:type="dxa"/>
            <w:bottom w:w="0" w:type="dxa"/>
            <w:right w:w="108" w:type="dxa"/>
          </w:tblCellMar>
        </w:tblPrEx>
        <w:trPr>
          <w:cantSplit/>
          <w:jc w:val="left"/>
        </w:trPr>
        <w:tc>
          <w:tcPr>
            <w:tcW w:w="120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冻牛肉</w:t>
            </w:r>
          </w:p>
        </w:tc>
        <w:tc>
          <w:tcPr>
            <w:tcW w:w="7166"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肌肉色红均匀，有光泽，脂肪白色或微黄，无霉点；肉质紧密，有坚实感；外表微干或有风干膜，或外表湿润，但不粘手；解冻后，指压后凹陷能立即恢复；无异味；外包装完好。</w:t>
            </w:r>
          </w:p>
        </w:tc>
      </w:tr>
      <w:tr>
        <w:tblPrEx>
          <w:jc w:val="left"/>
          <w:tblInd w:w="0" w:type="dxa"/>
          <w:tblLayout w:type="fixed"/>
          <w:tblCellMar>
            <w:top w:w="0" w:type="dxa"/>
            <w:left w:w="108" w:type="dxa"/>
            <w:bottom w:w="0" w:type="dxa"/>
            <w:right w:w="108" w:type="dxa"/>
          </w:tblCellMar>
        </w:tblPrEx>
        <w:trPr>
          <w:cantSplit/>
          <w:jc w:val="left"/>
        </w:trPr>
        <w:tc>
          <w:tcPr>
            <w:tcW w:w="120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冻羊肉</w:t>
            </w:r>
          </w:p>
        </w:tc>
        <w:tc>
          <w:tcPr>
            <w:tcW w:w="7166"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肌肉色鲜艳，有光泽，脂肪白色，无霉点；肉质紧密，有坚实感；外表微干或有风干膜，或外表湿润，但不粘手；解冻后，指压后凹陷能立即恢复；无异味；外包装完好。</w:t>
            </w:r>
          </w:p>
        </w:tc>
      </w:tr>
      <w:tr>
        <w:tblPrEx>
          <w:jc w:val="left"/>
          <w:tblInd w:w="0" w:type="dxa"/>
          <w:tblLayout w:type="fixed"/>
          <w:tblCellMar>
            <w:top w:w="0" w:type="dxa"/>
            <w:left w:w="108" w:type="dxa"/>
            <w:bottom w:w="0" w:type="dxa"/>
            <w:right w:w="108" w:type="dxa"/>
          </w:tblCellMar>
        </w:tblPrEx>
        <w:trPr>
          <w:cantSplit/>
          <w:jc w:val="left"/>
        </w:trPr>
        <w:tc>
          <w:tcPr>
            <w:tcW w:w="120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冻鸡肉</w:t>
            </w:r>
          </w:p>
        </w:tc>
        <w:tc>
          <w:tcPr>
            <w:tcW w:w="7166"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眼球饱满或平坦；皮肤有光泽，因品种不同而呈淡黄、淡红或灰白色等，肌肉切面有光泽；外表微湿润，不粘手；解冻后，指压后凹陷能立即恢复；无异味；外包装完好。</w:t>
            </w:r>
          </w:p>
        </w:tc>
      </w:tr>
    </w:tbl>
    <w:p>
      <w:pPr>
        <w:pStyle w:val="4101"/>
        <w:rPr>
          <w:rFonts w:ascii="方正仿宋_GBK" w:eastAsia="方正仿宋_GBK" w:hint="eastAsia"/>
          <w:sz w:val="28"/>
          <w:szCs w:val="28"/>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19"/>
        <w:gridCol w:w="730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219"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品名</w:t>
            </w:r>
          </w:p>
        </w:tc>
        <w:tc>
          <w:tcPr>
            <w:tcW w:w="7303" w:type="dxa"/>
            <w:tcBorders>
              <w:top w:val="single" w:sz="4" w:space="0" w:color="auto"/>
              <w:left w:val="single" w:sz="4" w:space="0" w:color="auto"/>
              <w:bottom w:val="single" w:sz="4" w:space="0" w:color="auto"/>
              <w:right w:val="single" w:sz="4" w:space="0" w:color="auto"/>
            </w:tcBorders>
          </w:tcPr>
          <w:p>
            <w:pPr>
              <w:pStyle w:val="4101"/>
              <w:jc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鸡全翼</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大小均匀，有光泽，无黄衣，无碎杂，无明显淤块，无骨折和破皮，肉色淡红，无鸡毛，无异味。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鸡中翼</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大小均匀，有光泽，无黄衣，无碎杂，无明显淤块，无骨折和破皮，肉质淡红，无鸡毛，无异味。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鸡翅根</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大小均匀，有光泽，无黄衣，无碎杂，无明显淤块，无骨折和破皮，肉质淡红，无鸡毛，无异味。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鸡爪</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大小均匀，色泽乳白；无碎架，无黑斑，无异味。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鸡腿</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大小均匀，有光泽，无黄衣，无碎杂，无淤血斑，肉质淡红，无异味。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鸭翅</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大小均匀，有光泽，无黄衣，无碎杂，无明显淤块，无骨折和破皮，无鸭毛，无异味。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鸭腿</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无残羽，无黄衣，无碎杂，无淤血斑，无异味。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鸭脖</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大小均匀，有光泽，无黄衣，无碎杂，无明显淤块，无骨折，无鸭毛，无异味。</w:t>
            </w:r>
          </w:p>
        </w:tc>
      </w:tr>
      <w:tr>
        <w:tblPrEx>
          <w:jc w:val="left"/>
          <w:tblInd w:w="0" w:type="dxa"/>
          <w:tblLayout w:type="fixed"/>
          <w:tblCellMar>
            <w:top w:w="0" w:type="dxa"/>
            <w:left w:w="108" w:type="dxa"/>
            <w:bottom w:w="0" w:type="dxa"/>
            <w:right w:w="108" w:type="dxa"/>
          </w:tblCellMar>
        </w:tblPrEx>
        <w:trPr>
          <w:cantSplit/>
          <w:jc w:val="left"/>
        </w:trPr>
        <w:tc>
          <w:tcPr>
            <w:tcW w:w="1219" w:type="dxa"/>
            <w:tcBorders>
              <w:top w:val="single" w:sz="4" w:space="0" w:color="auto"/>
              <w:left w:val="single" w:sz="4" w:space="0" w:color="auto"/>
              <w:bottom w:val="single" w:sz="4" w:space="0" w:color="auto"/>
              <w:right w:val="single" w:sz="4" w:space="0" w:color="auto"/>
            </w:tcBorders>
            <w:vAlign w:val="center"/>
          </w:tcPr>
          <w:p>
            <w:pPr>
              <w:pStyle w:val="4101"/>
              <w:jc w:val="center"/>
              <w:rPr>
                <w:rFonts w:ascii="方正仿宋_GBK" w:eastAsia="方正仿宋_GBK" w:hint="eastAsia"/>
                <w:sz w:val="28"/>
                <w:szCs w:val="28"/>
              </w:rPr>
            </w:pPr>
            <w:r>
              <w:rPr>
                <w:rFonts w:ascii="方正仿宋_GBK" w:eastAsia="方正仿宋_GBK" w:hint="eastAsia"/>
                <w:sz w:val="28"/>
                <w:szCs w:val="28"/>
              </w:rPr>
              <w:t>鸭锁骨</w:t>
            </w:r>
          </w:p>
        </w:tc>
        <w:tc>
          <w:tcPr>
            <w:tcW w:w="7303" w:type="dxa"/>
            <w:tcBorders>
              <w:top w:val="single" w:sz="4" w:space="0" w:color="auto"/>
              <w:left w:val="single" w:sz="4" w:space="0" w:color="auto"/>
              <w:bottom w:val="single" w:sz="4" w:space="0" w:color="auto"/>
              <w:right w:val="single" w:sz="4" w:space="0" w:color="auto"/>
            </w:tcBorders>
          </w:tcPr>
          <w:p>
            <w:pPr>
              <w:pStyle w:val="4101"/>
              <w:rPr>
                <w:rFonts w:ascii="方正仿宋_GBK" w:eastAsia="方正仿宋_GBK" w:hint="eastAsia"/>
                <w:sz w:val="28"/>
                <w:szCs w:val="28"/>
              </w:rPr>
            </w:pPr>
            <w:r>
              <w:rPr>
                <w:rFonts w:ascii="方正仿宋_GBK" w:eastAsia="方正仿宋_GBK" w:hint="eastAsia"/>
                <w:sz w:val="28"/>
                <w:szCs w:val="28"/>
              </w:rPr>
              <w:t>有光泽，无黄衣，无明显淤块，无骨折，无异味。</w:t>
            </w:r>
          </w:p>
        </w:tc>
      </w:tr>
    </w:tbl>
    <w:p>
      <w:pPr>
        <w:rPr>
          <w:rFonts w:ascii="方正仿宋_GBK" w:eastAsia="方正仿宋_GBK" w:hint="eastAsia"/>
          <w:sz w:val="28"/>
          <w:szCs w:val="28"/>
        </w:rPr>
      </w:pPr>
      <w:r>
        <w:rPr>
          <w:rFonts w:ascii="方正仿宋_GBK" w:eastAsia="方正仿宋_GBK" w:hint="eastAsia"/>
          <w:sz w:val="28"/>
          <w:szCs w:val="28"/>
        </w:rPr>
        <w:t>4.蔬菜</w:t>
      </w:r>
    </w:p>
    <w:tbl>
      <w:tblPr>
        <w:tblpPr w:leftFromText="180" w:rightFromText="180" w:vertAnchor="text" w:horzAnchor="page" w:tblpX="1672" w:tblpY="456"/>
        <w:tblOverlap w:val="never"/>
        <w:tblW w:w="8507"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53"/>
        <w:gridCol w:w="1165"/>
        <w:gridCol w:w="3807"/>
        <w:gridCol w:w="2982"/>
      </w:tblGrid>
      <w:tr>
        <w:tblPrEx>
          <w:tblW w:w="8507"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85"/>
        </w:trPr>
        <w:tc>
          <w:tcPr>
            <w:tcW w:w="8507"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验收质量标准</w:t>
            </w:r>
          </w:p>
        </w:tc>
      </w:tr>
      <w:tr>
        <w:tblPrEx>
          <w:tblW w:w="8507" w:type="dxa"/>
          <w:tblLayout w:type="fixed"/>
          <w:tblCellMar>
            <w:top w:w="0" w:type="dxa"/>
            <w:left w:w="108" w:type="dxa"/>
            <w:bottom w:w="0" w:type="dxa"/>
            <w:right w:w="108" w:type="dxa"/>
          </w:tblCellMar>
        </w:tblPrEx>
        <w:trPr>
          <w:trHeight w:val="580"/>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序号</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品名</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优质质量形态</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劣质质量形态</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小白菜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梗白色，较嫩较短，叶子淡绿色，整棵菜水分充足，无根</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有黄叶，枯萎，有虫蛀洞或小虫，腐烂，有压伤，散水太多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青菜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梗白色或浅绿色，较嫩，叶子深绿色，整棵菜水分充足，无根</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有黄叶，枯萎，有虫蛀洞或小虫，腐烂，有压伤，散水太多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苦菊</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色绿，绿茎叶较多，根茎较短，曲卷度高，波浪形</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有黄叶，枯萎，有虫蛀洞或小虫，腐烂，有压伤，散水太多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油菜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梗短粗，呈淡绿色或白色，叶子厚、肥大，主茎无花蕾，水分充足，无根</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有黄叶，枯萎，有小虫，腐烂，有压伤，散水太多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韭菜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叶较宽，挺直，翠绿色，根部洁白，软嫩且有韭菜味，根株均匀</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有泥土，有黄叶或叶上有斑，枯萎，无尖，腐烂</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韭黄</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叶肥挺，稍弯曲，色泽淡黄，香味浓郁</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有泥土，有黄叶，干软，有断裂，腐烂</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7</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香芹</w:t>
            </w:r>
          </w:p>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（旱芹）</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叶翠绿，无主茎，分枝少，根细，茎挺直，脆，有芹菜香味，水分充足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有泥土，有黄叶、烂叶、干叶，根粗、分枝多、茎老帮、弯曲、空心，有锈斑、黄斑、断裂、腐烂</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8</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水芹</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叶嫩绿或黄绿，茎、根部呈白色，茎细软，中间空，水分充足，有清香味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有泥土、烂叶、黄叶，根茎变黄，有锈斑、黄斑、断裂、腐烂、杂草</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9</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西芹</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叶茎宽厚，颜色深绿，新鲜肥嫩，爽口无渣</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有黄叶、梗伤、水绣、腐烂、断裂、枯萎</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10</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菠菜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颜色碧绿，平嫩，叶子大、挺直，根桃红，无主茎且无柄无红色，棵株适当</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有泥土，带穗，有抽茎、黄叶、枯叶、干尖、腐烂和虫眼</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生菜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颜色鲜艳，淡绿，叶子水分充足，脆嫩薄，可竖起，棵株挺直</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叶子发黄，有褐色边或褐斑，干软，卷曲，脱叶。</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空心菜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叶薄小翠绿，有光泽，棵株挺直，梗细嫩脆、淡绿色、易折断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叶子大，有黄叶、烂叶和锈斑，有花蕾、虫洞、腐烂，棵株软，梗粗老，节上有白色枝头</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西洋菜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颜色淡绿或深绿，茎细脆嫩，易折断，水分充足，棵株挺直</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茎粗老，白色枝头多，有黄叶、烂叶、杂草，棵株软且大</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14</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油麦菜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叶淡绿、肥厚、嫩脆，无主茎，叶株挺直，水分充足，根部的切面嫩绿色，稍有苦涩味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有黄叶、烂叶、叶斑，有主茎，干软</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15</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芥菜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叶大而薄，深绿色，柄嫩绿脆，无主茎，叶株挺直，水分充足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有黄叶、黄叶边，有虫，干软</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16</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苋菜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有红绿两种，叶子为绿色或红色，叶大薄软，有光泽，茎细短，光滑嫩脆，棵株挺直，水分充足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有黄叶，叶背有白点，有虫，枯萎有籽，茎粗老</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17</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潺菜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颜色碧绿，叶厚实，有光泽，梗细短，光滑嫩绿，掐之易断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有叶斑或叶子过大、枯萎，有杂质，梗粗老</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18</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菜芯</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颜色碧绿，梗脆嫩，掐之易断，有花蕾或无花蕾，棵株挺直，水分充足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有叶班、虫洞、枯萎，梗粗老，或开花过多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19</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芥兰</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颜色墨绿，叶短少，有白霜，挺直，粗长，梗皮有光泽、绿色，断面绿白色、湿润</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叶枯萎，有花蕾、压伤，断面黄色、锈色、腐烂或干涩</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20</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大葱</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葱叶为浅绿色，葱白长、紧实、挺直</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枯萎、霉叶、黄叶，有泥土，葱白松空</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小葱</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叶翠绿，饱满充气，均匀细长，鳞茎洁白，挺直，香味浓郁</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有黄叶、烂叶、干尖、叶斑。有毛根、泥土，浸水过多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胡葱</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叶翠绿，饱满充气，均匀细长，鳞茎洁白、挺直，香味浓郁</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有黄叶、烂叶、干尖、叶斑。有毛根、泥土，枯萎，浸水过多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青蒜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叶翠绿、薄嫩、挺直，蒜茎洁白，水分充足，外表无水</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有黄叶、干尖、烂梢，有根、泥土</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24</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生姜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颜色淡黄，表皮完整，姜体脆硬、肥大，有姜味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干硬，有烂斑、碰伤、毛根，泥土多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25</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蒜头</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颜色白色或紫色，蒜皮干燥，蒜瓣结实不散，有硬度</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有发芽、散瓣、烂瓣、瘪瓣、虫孔、须根</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26</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香菜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翠绿、挺直，根部无泥，香气重，水分充足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黄叶、腐烂、泥土、发蔫</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27</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青尖椒</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长形或萝卜形，颜色碧绿，有光泽，表面光滑、饱满，有一定硬度和弹性，肉层中等，有辣味</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腐烂、干尖，表面无光泽，有皱纹、断裂，干软，凹陷，有泥土</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28</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青椒</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柿形或灯笼形，较大，颜色碧绿、有光泽，表面光滑、饱满，有一定硬度和弹性，肉厚少籽</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腐烂，表面无光泽，有皱纹、断裂，干软，有压伤划痕</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29</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小米辣椒</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细长圆锥形，颜色红色，有光泽，表面光滑、饱满，有一定硬度和弹性，肉薄籽多，辣味重</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腐烂、干尖，表面无光泽，有皱纹、断裂，干软，有划痕</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30</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红、黄椒</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颜色鲜艳，有光泽，表面光滑、饱满，有一定硬度和弹性</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腐烂、干尖，表面无光泽，有皱纹、断裂，干软，有划痕</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杭椒</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色泽碧绿，大小均匀，个体直，柔薄嫩，色泽明亮</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腐烂、干尖，表面无光泽，有皱纹、断裂，干软，有划痕</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蕃茄</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颜色大红、粉红或黄色，光泽亮艳，个大、圆整、饱满，有弹性，至少八成熟，肉厚籽少</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腐烂、压伤，过软或过硬，表皮有斑点或畸形果</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大白菜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外叶淡绿色、奶黄色，帮白，内叶乳白色，叶新鲜光泽，棵株大，完整，包心坚实紧密，根部断面洁白完整</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有空心、烂心、压伤、冻伤、虫蛀、雨淋、水浸、裂缝、老帮、黄叶，外叶萎蔫，包心松，有泥土</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34</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苞菜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外叶淡绿色，内叶淡黄色，叶肥厚脆嫩，棵株大，完整，包心坚实紧密，根部断面洁白完整</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包心松散，有黄叶、虫蛀，萎蔫、雨淋、水浸</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35</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娃娃菜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个头适中，颜色为淡黄色，帮白嫩，有光泽，无虫害，无腐烂变质，无斑点，不发黑</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有空心、烂心、压伤、冻伤、虫蛀，外叶枯萎</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36</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茄子</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色正（青、紫、白）形正（棒形、卵形、灯泡形），表面光滑，有光泽，有弹性，不软，皮薄肉嫩籽少，个体均匀</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表皮有皱纹、压伤、虫蛀、烂斑，籽肉分离，太软</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37</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莴笋</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笋形粗壮，条直、均匀，叶绿色，茎皮光泽，绿或淡绿色，断面碧绿，嫩叶少。净菜：切头去根，洗净，除去外皮。</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有压伤、裂纹、水锈斑、空心、黄叶、毛根，有泥土。净菜：切头去根不干净，带皮</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38</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蒜苔</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颜色深绿，梗细滑，有光泽，挺直、鲜嫩，指甲掐之易断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颜色黄绿，梗粗，表面有皱纹。老，掐之不断，梗尖干黄</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39</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花菜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花蕾颜色洁白或乳白，花序紧实不散，球形完整，表面湿润，花梗乳白或淡绿，紧凑，外叶绿色且少，主茎短，断面洁白</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花蕾发黄，有黑斑及污点，粗且松，表面发干，有压伤、刀伤、虫害，主茎长</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40</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西兰花</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花蕾颜色深绿，花序紧实不散，球形完整，表面有白霜，花梗深绿、紧凑，外叶绿色且少，主茎短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花蕾有烂斑、污点，粗且松，表面发干，有压伤、刀伤，主茎长</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黄瓜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颜色青绿，瓜身细短，条直、均匀，瓜把小，顶花带刺，有白霜或光泽</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颜色黄，皮皱，有大肚或瘦尖，弯曲，有压伤、腐烂、断裂，肉白或有空心</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冬瓜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皮青翠，有白霜，肉洁白、厚嫩、紧密，膛小，有一定硬度</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有压伤、烂斑，较软，肉有空隙，水分少，发糠</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丝瓜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有棱和无棱两种，皮颜色翠绿、薄嫩，有白霜，条直、均匀、细长挺直，易断、无弹性，肉洁白软嫩，籽少</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颜色泛黄，皮粗糙，弯曲、不均，有伤疤、烂斑、黄斑，较软，有弹性，肉松软或空</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44</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苦瓜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淡绿色，有光泽，凸处明显，条直、均匀，有一定硬度，瓤黄白，籽少</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有腐烂、压伤、刀伤、磨损、虫洞、斑点，颜色发黄、甚至发红，瓜身软</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45</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毛瓜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翠绿色，有光泽，有细绒毛，皮薄嫩，肉洁白，籽少，形正，有一定硬度</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有压伤、烂斑、凹瘪、黄斑，瓜身软，绒毛倒伏</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46</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南瓜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颜色金黄色或橙黄色，瓜形周正，肉金黄、紧密，表面硬实</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有斑疤、破裂、虫洞、料斑，软烂，畸形</w:t>
            </w:r>
          </w:p>
        </w:tc>
      </w:tr>
      <w:tr>
        <w:tblPrEx>
          <w:tblW w:w="8507" w:type="dxa"/>
          <w:tblLayout w:type="fixed"/>
          <w:tblCellMar>
            <w:top w:w="0" w:type="dxa"/>
            <w:left w:w="108" w:type="dxa"/>
            <w:bottom w:w="0" w:type="dxa"/>
            <w:right w:w="108" w:type="dxa"/>
          </w:tblCellMar>
        </w:tblPrEx>
        <w:trPr>
          <w:trHeight w:val="910"/>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47</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蒲瓜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颜色淡绿色，有光泽，表面光滑平整，有白色绒毛，有一定硬度，无弹性，皮薄，肉洁白鲜嫩，瓜形周正</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有断裂、划伤，软烂，干皱，畸形，颜色发黄</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48</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佛手瓜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颜色浅绿色，佛手形，有一定硬度，皮脆硬，肉晶莹透明，瓜形周正</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表皮有擦伤、烂斑，干皱</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49</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角瓜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颜色黄绿色，表皮光滑，有花纹和棱边，皮薄肉嫩，瓤小籽少，有一定硬度，尾蒂有毛刺</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表皮粗糙，有烂斑、划伤，软烂</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50</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毛豆</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颜色青绿，表面有黄色绒毛，豆荚饱满，剥开后豆粒呈淡绿色，完整，有清香</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受潮，有虫洞，软烂，颜色发黄发黑，豆粒瘪而小，有异味</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青豆</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颜色青绿单一，有光泽，豆粒大，均匀完整，较嫩</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颜色杂，大小不均匀，有碎粒、烂粒、霉粒、杂质</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四季豆</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颜色翠绿色，表面有细绒毛，豆荚细长均匀，水分充足、饱满，有韧性，能弯曲，指甲掐之后有痕，折之易断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有虫洞、斑点、水锈、腐烂、萎蔫，纤维明显，筋丝粗韧，豆荚粗壮，难弯曲</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荷兰豆</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颜色嫩绿有光泽，豆荚挺直，折之易断，筋丝不明显，豆粒小而无</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枯萎，颜色黄绿色，筋丝明显，折之不断</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54</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扁芸豆</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颜色翠绿色，质地嫩，水分充足、饱满，有韧性，能弯曲，豆荚新鲜幼嫩，指甲掐之后有痕，折之易断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有虫洞、斑点、水锈、腐烂、萎蔫，纤维明显，筋丝粗韧，豆荚粗壮，难弯曲</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55</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黄豆芽</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豆芽挺直，芽身短而粗，根须少，芽色洁白晶莹</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发黄、发黑，干燥，豆壳多，有断芽、烂头、烂尾</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56</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绿豆芽</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豆芽挺直，芽身短而粗，根须少，芽色洁白晶莹</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发黄、发黑，干燥，豆壳多，有断芽、烂头、烂尾</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57</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土豆</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颜色为淡黄色或奶白色，个大形正，大小整齐，表皮光滑，体硬不软，饱满</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发芽，有青斑，萎蔫，腐烂，坑眼多，有毛根、泥土、糙皮</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58</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洋葱</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鳞片颜色粉白或紫白，鳞片肥厚，完整无损，抱合紧密，球茎干度适中，有一定硬度</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腐烂，干枯，过软，裂开，发芽，发乌，有泥土</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59</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红薯</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颜色粉红或淡黄色，依品种而定，个大形正，大小整齐，表面无伤，体硬不软，饱满</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腐烂，破皮，坑眼多，畸形，泥土多，发软</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60</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胡萝卜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颜色红色、橘黄色，表面光滑，条直、匀称，粗壮、硬实、不软</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有刀伤、开裂、褐斑，发糠，体软，泥土多</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青萝卜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颜色青绿，皮薄且较细，肉质紧密，形体完整，水分大，份量重</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有糠心、开裂、刀伤，泥土多，局部腐烂</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白萝卜</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颜色洁白光亮，表面光滑、细腻，形体完整，份量重，底部切面洁白，水分大</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有糠心、花心、灰心、断裂、压伤、虫洞、毛根、糙皮，泥土多，表面有黄斑或褐斑</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芋头</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spacing w:line="360" w:lineRule="auto"/>
              <w:rPr>
                <w:rFonts w:ascii="方正仿宋_GBK" w:eastAsia="方正仿宋_GBK" w:hint="eastAsia"/>
                <w:sz w:val="28"/>
                <w:szCs w:val="28"/>
              </w:rPr>
            </w:pPr>
            <w:r>
              <w:rPr>
                <w:rFonts w:ascii="方正仿宋_GBK" w:eastAsia="方正仿宋_GBK" w:hint="eastAsia"/>
                <w:sz w:val="28"/>
                <w:szCs w:val="28"/>
              </w:rPr>
              <w:t>颜色为红褐色，表皮粗糙，个体适中，断面肉质洁白，且有紫色斑点，不硬心</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有刀伤、根须、疤痕，泥土多，个体过小，水分少，肉硬但不脆</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64</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莲藕</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表皮颜色白中带黄，藕节肥大、无叉，水分充足，肉洁白脆嫩，藕节一般为3-4节</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有外伤、断裂、褐色斑，干萎，颜色发黄</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65</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茭白</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叶颜色青绿，完整，茎粗壮，肉肥厚较嫩，颜色洁白或淡黄色，折之易断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茎肉颜色青绿，有斑，较细且空，有刀伤或虫洞</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66</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冬笋</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笋壳淡黄色，有光泽，完整清洁，壳肉紧帖、饱满</w:t>
            </w:r>
            <w:bookmarkStart w:id="44" w:name="青铜器"/>
            <w:bookmarkEnd w:id="44"/>
            <w:r>
              <w:rPr>
                <w:rFonts w:ascii="方正仿宋_GBK" w:eastAsia="方正仿宋_GBK" w:hint="eastAsia"/>
                <w:sz w:val="28"/>
                <w:szCs w:val="28"/>
              </w:rPr>
              <w:t>，肉质洁白较嫩，根小</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冰冻、霉烂、风干、刀伤，壳皮卷曲，离肉，有黑斑，根大，肉老</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67</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竹笋</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笋壳淡黄色，有光泽，笋体粗壮、充实、饱满，肉质洁白较嫩，水分多</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断裂、黑斑、风干、刀伤，壳皮卷曲，壳肉有空隙，笋根变黑，肉变色</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68</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香菇</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菌盖颜色褐色，有光泽，菌幕为淡米色或乳白色，菌身完整无损，不湿，菌盖大，有弹性，柄短小，重量轻</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腐烂、破损、潮湿、粘手，菌身不完整，颜色暗淡，发黑，有异味</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69</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平菇</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菌为洁白色或浅黑色，菌身完整，大小均匀，菌盖与柄、菌环相连，未展开，根短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发霉、潮湿、粘手、水浸、有杂质，菌盖边缘裂开，盖柄脱离，颜色发黄，有黄斑</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70</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草菇</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顶部颜色为鼠灰色，根部为乳白色，蛋或卵圆形，饱满，菌膜未破，湿度适中</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潮湿、粘手、水浸，菌盖边缘裂开或腰凹陷</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71</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金针菇</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菌盖颜色乳白，菌柄淡黄色，根部淡褐色，菌身细短，挺直</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腐烂、潮湿、枯萎，菌盖脱落，柄粗长，颜色发黄</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72</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茶树菇</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粗细均匀，无腐烂，色灰白，无失水枯萎，无虫蛀，无腐烂发粘</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腐烂、潮湿、枯萎，颜色发黄</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73</w:t>
            </w:r>
          </w:p>
        </w:tc>
        <w:tc>
          <w:tcPr>
            <w:tcW w:w="11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杏鲍菇</w:t>
            </w:r>
          </w:p>
        </w:tc>
        <w:tc>
          <w:tcPr>
            <w:tcW w:w="380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质地坚实，呈白色，大小均匀，无斑点，无腐烂，手感无粘液</w:t>
            </w:r>
          </w:p>
        </w:tc>
        <w:tc>
          <w:tcPr>
            <w:tcW w:w="298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发霉、潮湿、粘手，颜色发黄，有异味</w:t>
            </w:r>
          </w:p>
        </w:tc>
      </w:tr>
      <w:tr>
        <w:tblPrEx>
          <w:tblW w:w="8507" w:type="dxa"/>
          <w:tblLayout w:type="fixed"/>
          <w:tblCellMar>
            <w:top w:w="0" w:type="dxa"/>
            <w:left w:w="108" w:type="dxa"/>
            <w:bottom w:w="0" w:type="dxa"/>
            <w:right w:w="108" w:type="dxa"/>
          </w:tblCellMar>
        </w:tblPrEx>
        <w:trPr>
          <w:trHeight w:val="795"/>
        </w:trPr>
        <w:tc>
          <w:tcPr>
            <w:tcW w:w="553" w:type="dxa"/>
            <w:tcBorders>
              <w:top w:val="single" w:sz="4" w:space="0" w:color="000000"/>
              <w:left w:val="single" w:sz="4" w:space="0" w:color="000000"/>
              <w:bottom w:val="single" w:sz="4" w:space="0" w:color="000000"/>
              <w:right w:val="single" w:sz="4" w:space="0" w:color="000000"/>
            </w:tcBorders>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74</w:t>
            </w:r>
          </w:p>
        </w:tc>
        <w:tc>
          <w:tcPr>
            <w:tcW w:w="1165" w:type="dxa"/>
            <w:tcBorders>
              <w:top w:val="single" w:sz="4" w:space="0" w:color="000000"/>
              <w:left w:val="single" w:sz="4" w:space="0" w:color="000000"/>
              <w:bottom w:val="single" w:sz="4" w:space="0" w:color="000000"/>
              <w:right w:val="single" w:sz="4" w:space="0" w:color="000000"/>
            </w:tcBorders>
            <w:vAlign w:val="center"/>
          </w:tcPr>
          <w:p>
            <w:pPr>
              <w:pStyle w:val="4101"/>
              <w:widowControl/>
              <w:jc w:val="center"/>
              <w:textAlignment w:val="center"/>
              <w:rPr>
                <w:rFonts w:ascii="方正仿宋_GBK" w:eastAsia="方正仿宋_GBK" w:hint="eastAsia"/>
                <w:sz w:val="28"/>
                <w:szCs w:val="28"/>
              </w:rPr>
            </w:pPr>
            <w:r>
              <w:rPr>
                <w:rFonts w:ascii="方正仿宋_GBK" w:eastAsia="方正仿宋_GBK" w:hint="eastAsia"/>
                <w:sz w:val="28"/>
                <w:szCs w:val="28"/>
              </w:rPr>
              <w:t>山药</w:t>
            </w:r>
          </w:p>
        </w:tc>
        <w:tc>
          <w:tcPr>
            <w:tcW w:w="3807" w:type="dxa"/>
            <w:tcBorders>
              <w:top w:val="single" w:sz="4" w:space="0" w:color="000000"/>
              <w:left w:val="single" w:sz="4" w:space="0" w:color="000000"/>
              <w:bottom w:val="single" w:sz="4" w:space="0" w:color="000000"/>
              <w:right w:val="single" w:sz="4" w:space="0" w:color="000000"/>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呈圆柱状，表面黄白色或黄色，体重，质坚实，不易折断，断面白色，富粉性。净菜：切头去根，洗净，除去外皮及须根，干燥。</w:t>
            </w:r>
          </w:p>
        </w:tc>
        <w:tc>
          <w:tcPr>
            <w:tcW w:w="2982" w:type="dxa"/>
            <w:tcBorders>
              <w:top w:val="single" w:sz="4" w:space="0" w:color="000000"/>
              <w:left w:val="single" w:sz="4" w:space="0" w:color="000000"/>
              <w:bottom w:val="single" w:sz="4" w:space="0" w:color="000000"/>
              <w:right w:val="single" w:sz="4" w:space="0" w:color="000000"/>
            </w:tcBorders>
            <w:vAlign w:val="center"/>
          </w:tcPr>
          <w:p>
            <w:pPr>
              <w:pStyle w:val="4101"/>
              <w:widowControl/>
              <w:textAlignment w:val="center"/>
              <w:rPr>
                <w:rFonts w:ascii="方正仿宋_GBK" w:eastAsia="方正仿宋_GBK" w:hint="eastAsia"/>
                <w:sz w:val="28"/>
                <w:szCs w:val="28"/>
              </w:rPr>
            </w:pPr>
            <w:r>
              <w:rPr>
                <w:rFonts w:ascii="方正仿宋_GBK" w:eastAsia="方正仿宋_GBK" w:hint="eastAsia"/>
                <w:sz w:val="28"/>
                <w:szCs w:val="28"/>
              </w:rPr>
              <w:t>腐烂，破皮，坑眼多，泥土多，发软，颜色暗淡，发黑，有异味。净菜：切头去根不干净，带皮</w:t>
            </w:r>
          </w:p>
        </w:tc>
      </w:tr>
    </w:tbl>
    <w:p>
      <w:pPr>
        <w:rPr>
          <w:rFonts w:ascii="方正仿宋_GBK" w:eastAsia="方正仿宋_GBK" w:hint="eastAsia"/>
          <w:sz w:val="28"/>
          <w:szCs w:val="28"/>
        </w:rPr>
      </w:pPr>
      <w:r>
        <w:rPr>
          <w:rFonts w:ascii="方正仿宋_GBK" w:eastAsia="方正仿宋_GBK" w:hint="eastAsia"/>
          <w:sz w:val="28"/>
          <w:szCs w:val="28"/>
        </w:rPr>
        <w:t>5. 豆腐及豆制品</w:t>
      </w:r>
    </w:p>
    <w:tbl>
      <w:tblPr>
        <w:jc w:val="left"/>
        <w:tblCellSpacing w:w="0" w:type="dxa"/>
        <w:tblInd w:w="-111" w:type="dxa"/>
        <w:tblBorders>
          <w:top w:val="outset" w:sz="6" w:space="0" w:color="auto"/>
          <w:left w:val="outset" w:sz="6" w:space="0" w:color="auto"/>
          <w:bottom w:val="outset" w:sz="6" w:space="0" w:color="auto"/>
          <w:right w:val="outset" w:sz="6" w:space="0" w:color="auto"/>
        </w:tblBorders>
        <w:tblLayout w:type="fixed"/>
        <w:tblCellMar>
          <w:top w:w="0" w:type="dxa"/>
          <w:left w:w="0" w:type="dxa"/>
          <w:bottom w:w="0" w:type="dxa"/>
          <w:right w:w="0" w:type="dxa"/>
        </w:tblCellMar>
      </w:tblPr>
      <w:tblGrid>
        <w:gridCol w:w="750"/>
        <w:gridCol w:w="1246"/>
        <w:gridCol w:w="1500"/>
        <w:gridCol w:w="1408"/>
        <w:gridCol w:w="1719"/>
        <w:gridCol w:w="1811"/>
      </w:tblGrid>
      <w:tr>
        <w:tblPrEx>
          <w:jc w:val="left"/>
          <w:tblCellSpacing w:w="0" w:type="dxa"/>
          <w:tblInd w:w="-111" w:type="dxa"/>
          <w:tblBorders>
            <w:top w:val="outset" w:sz="6" w:space="0" w:color="auto"/>
            <w:left w:val="outset" w:sz="6" w:space="0" w:color="auto"/>
            <w:bottom w:val="outset" w:sz="6" w:space="0" w:color="auto"/>
            <w:right w:val="outset" w:sz="6" w:space="0" w:color="auto"/>
          </w:tblBorders>
          <w:tblLayout w:type="fixed"/>
          <w:tblCellMar>
            <w:top w:w="0" w:type="dxa"/>
            <w:left w:w="0" w:type="dxa"/>
            <w:bottom w:w="0" w:type="dxa"/>
            <w:right w:w="0" w:type="dxa"/>
          </w:tblCellMar>
        </w:tblPrEx>
        <w:trPr>
          <w:cantSplit/>
          <w:tblCellSpacing w:w="0" w:type="dxa"/>
          <w:jc w:val="left"/>
        </w:trPr>
        <w:tc>
          <w:tcPr>
            <w:tcW w:w="750" w:type="dxa"/>
            <w:vMerge w:val="restart"/>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类别</w:t>
            </w:r>
          </w:p>
        </w:tc>
        <w:tc>
          <w:tcPr>
            <w:tcW w:w="1246" w:type="dxa"/>
            <w:vMerge w:val="restart"/>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品种</w:t>
            </w:r>
          </w:p>
        </w:tc>
        <w:tc>
          <w:tcPr>
            <w:tcW w:w="6438" w:type="dxa"/>
            <w:gridSpan w:val="4"/>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验收项目</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vMerge/>
            <w:tcBorders>
              <w:top w:val="outset" w:sz="6" w:space="0" w:color="auto"/>
              <w:left w:val="outset" w:sz="6" w:space="0" w:color="auto"/>
              <w:bottom w:val="outset" w:sz="6" w:space="0" w:color="auto"/>
              <w:right w:val="outset" w:sz="6" w:space="0" w:color="auto"/>
            </w:tcBorders>
            <w:vAlign w:val="center"/>
          </w:tcP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色泽</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气味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形态</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质地</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val="restart"/>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rPr>
                <w:rFonts w:ascii="方正仿宋_GBK" w:eastAsia="方正仿宋_GBK" w:hint="eastAsia"/>
                <w:sz w:val="28"/>
                <w:szCs w:val="28"/>
              </w:rPr>
            </w:pPr>
            <w:r>
              <w:rPr>
                <w:rFonts w:ascii="方正仿宋_GBK" w:eastAsia="方正仿宋_GBK" w:hint="eastAsia"/>
                <w:sz w:val="28"/>
                <w:szCs w:val="28"/>
              </w:rPr>
              <w:t xml:space="preserve">  大</w:t>
            </w:r>
          </w:p>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豆</w:t>
            </w:r>
          </w:p>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制</w:t>
            </w:r>
          </w:p>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品</w:t>
            </w: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盒装内酯嫩豆腐</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白色或乳白色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略有豆香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持水性较好，刀切后不坍、不裂</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细腻、嫩滑、无涩味</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盒装老豆腐</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白色或乳白色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略有豆香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持水性好，刀切后不坍、不裂</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滑爽不粗，无涩味</w:t>
            </w:r>
          </w:p>
        </w:tc>
      </w:tr>
      <w:tr>
        <w:tblPrEx>
          <w:jc w:val="left"/>
          <w:tblCellSpacing w:w="0" w:type="dxa"/>
          <w:tblInd w:w="-111" w:type="dxa"/>
          <w:tblLayout w:type="fixed"/>
          <w:tblCellMar>
            <w:top w:w="0" w:type="dxa"/>
            <w:left w:w="0" w:type="dxa"/>
            <w:bottom w:w="0" w:type="dxa"/>
            <w:right w:w="0" w:type="dxa"/>
          </w:tblCellMar>
        </w:tblPrEx>
        <w:trPr>
          <w:cantSplit/>
          <w:trHeight w:val="905"/>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豆腐干（香干）</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淡黄色或黄色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有豆香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块形整齐，厚薄均匀</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密实，有韧性</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五香豆腐干</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褐色，有光泽</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五香味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块形整齐，厚薄均匀</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有韧性</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薰香干</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淡褐色和淡黄色相间</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有辛香料和柴火香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块形整齐，厚薄均匀</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有韧性</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油豆腐</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金黄色或黄色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有油香和豆香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方形，三角形或长条形</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皮薄软糯，内呈蜂窝状，不实心</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油划方</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金黄色或黄色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有油香和豆香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方形或菱形，大小均匀</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各面生皮，不碎</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素鸡</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乳白色或淡米色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稍带碱味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圆柱形</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无裂缝，不烂心</w:t>
            </w:r>
          </w:p>
        </w:tc>
      </w:tr>
      <w:tr>
        <w:tblPrEx>
          <w:jc w:val="left"/>
          <w:tblCellSpacing w:w="0" w:type="dxa"/>
          <w:tblInd w:w="-111" w:type="dxa"/>
          <w:tblLayout w:type="fixed"/>
          <w:tblCellMar>
            <w:top w:w="0" w:type="dxa"/>
            <w:left w:w="0" w:type="dxa"/>
            <w:bottom w:w="0" w:type="dxa"/>
            <w:right w:w="0" w:type="dxa"/>
          </w:tblCellMar>
        </w:tblPrEx>
        <w:trPr>
          <w:cantSplit/>
          <w:trHeight w:val="986"/>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薄百页</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淡黄色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有豆香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方形薄张，无白边、白头、花洞，厚薄均匀</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有韧性，稍有拉力</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厚百页</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乳白色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有豆香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方形，厚薄均匀，完整，不破碎</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稍有韧性</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豆腐衣</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金黄色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有油香</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薄膜状</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稍有韧性</w:t>
            </w:r>
          </w:p>
        </w:tc>
      </w:tr>
      <w:tr>
        <w:tblPrEx>
          <w:jc w:val="left"/>
          <w:tblCellSpacing w:w="0" w:type="dxa"/>
          <w:tblInd w:w="-111" w:type="dxa"/>
          <w:tblLayout w:type="fixed"/>
          <w:tblCellMar>
            <w:top w:w="0" w:type="dxa"/>
            <w:left w:w="0" w:type="dxa"/>
            <w:bottom w:w="0" w:type="dxa"/>
            <w:right w:w="0" w:type="dxa"/>
          </w:tblCellMar>
        </w:tblPrEx>
        <w:trPr>
          <w:cantSplit/>
          <w:trHeight w:val="90"/>
          <w:tblCellSpacing w:w="0" w:type="dxa"/>
          <w:jc w:val="left"/>
        </w:trPr>
        <w:tc>
          <w:tcPr>
            <w:tcW w:w="750" w:type="dxa"/>
            <w:vMerge w:val="restart"/>
            <w:tcBorders>
              <w:top w:val="outset" w:sz="6" w:space="0" w:color="auto"/>
              <w:left w:val="outset" w:sz="6" w:space="0" w:color="auto"/>
              <w:bottom w:val="outset" w:sz="6" w:space="0" w:color="auto"/>
              <w:right w:val="outset" w:sz="6" w:space="0" w:color="auto"/>
            </w:tcBorders>
            <w:vAlign w:val="center"/>
          </w:tcPr>
          <w:p>
            <w:pPr>
              <w:pStyle w:val="4101"/>
              <w:widowControl/>
              <w:spacing w:before="100" w:after="100"/>
              <w:jc w:val="center"/>
              <w:rPr>
                <w:rFonts w:ascii="方正仿宋_GBK" w:eastAsia="方正仿宋_GBK" w:hint="eastAsia"/>
                <w:sz w:val="28"/>
                <w:szCs w:val="28"/>
              </w:rPr>
            </w:pPr>
            <w:r>
              <w:rPr>
                <w:rFonts w:ascii="方正仿宋_GBK" w:eastAsia="方正仿宋_GBK" w:hint="eastAsia"/>
                <w:sz w:val="28"/>
                <w:szCs w:val="28"/>
              </w:rPr>
              <w:t>面</w:t>
              <w:br/>
              <w:t>筋</w:t>
              <w:br/>
              <w:t>制</w:t>
              <w:br/>
              <w:t>品</w:t>
            </w: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栗子面筋</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灰白色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有麦香，无酸味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栗子状</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有韧性</w:t>
            </w:r>
          </w:p>
        </w:tc>
      </w:tr>
      <w:tr>
        <w:tblPrEx>
          <w:jc w:val="left"/>
          <w:tblCellSpacing w:w="0" w:type="dxa"/>
          <w:tblInd w:w="-111" w:type="dxa"/>
          <w:tblLayout w:type="fixed"/>
          <w:tblCellMar>
            <w:top w:w="0" w:type="dxa"/>
            <w:left w:w="0" w:type="dxa"/>
            <w:bottom w:w="0" w:type="dxa"/>
            <w:right w:w="0" w:type="dxa"/>
          </w:tblCellMar>
        </w:tblPrEx>
        <w:trPr>
          <w:cantSplit/>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素肠</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灰白色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有麦香，无酸味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猪肠状，不包头</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有韧性</w:t>
            </w:r>
          </w:p>
        </w:tc>
      </w:tr>
      <w:tr>
        <w:tblPrEx>
          <w:jc w:val="left"/>
          <w:tblCellSpacing w:w="0" w:type="dxa"/>
          <w:tblInd w:w="-111" w:type="dxa"/>
          <w:tblLayout w:type="fixed"/>
          <w:tblCellMar>
            <w:top w:w="0" w:type="dxa"/>
            <w:left w:w="0" w:type="dxa"/>
            <w:bottom w:w="0" w:type="dxa"/>
            <w:right w:w="0" w:type="dxa"/>
          </w:tblCellMar>
        </w:tblPrEx>
        <w:trPr>
          <w:cantSplit/>
          <w:trHeight w:val="1177"/>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烤麸</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米黄色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有麦香，无酸味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蜂窝状</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松软而富有弹性</w:t>
            </w:r>
          </w:p>
        </w:tc>
      </w:tr>
      <w:tr>
        <w:tblPrEx>
          <w:jc w:val="left"/>
          <w:tblCellSpacing w:w="0" w:type="dxa"/>
          <w:tblInd w:w="-111" w:type="dxa"/>
          <w:tblLayout w:type="fixed"/>
          <w:tblCellMar>
            <w:top w:w="0" w:type="dxa"/>
            <w:left w:w="0" w:type="dxa"/>
            <w:bottom w:w="0" w:type="dxa"/>
            <w:right w:w="0" w:type="dxa"/>
          </w:tblCellMar>
        </w:tblPrEx>
        <w:trPr>
          <w:cantSplit/>
          <w:trHeight w:val="1151"/>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油面筋</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金黄色</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有油香，无异味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球状</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内呈丝网状</w:t>
            </w:r>
          </w:p>
        </w:tc>
      </w:tr>
      <w:tr>
        <w:tblPrEx>
          <w:jc w:val="left"/>
          <w:tblCellSpacing w:w="0" w:type="dxa"/>
          <w:tblInd w:w="-111" w:type="dxa"/>
          <w:tblLayout w:type="fixed"/>
          <w:tblCellMar>
            <w:top w:w="0" w:type="dxa"/>
            <w:left w:w="0" w:type="dxa"/>
            <w:bottom w:w="0" w:type="dxa"/>
            <w:right w:w="0" w:type="dxa"/>
          </w:tblCellMar>
        </w:tblPrEx>
        <w:trPr>
          <w:cantSplit/>
          <w:trHeight w:val="1110"/>
          <w:tblCellSpacing w:w="0" w:type="dxa"/>
          <w:jc w:val="left"/>
        </w:trPr>
        <w:tc>
          <w:tcPr>
            <w:tcW w:w="750" w:type="dxa"/>
            <w:vMerge w:val="restart"/>
            <w:tcBorders>
              <w:top w:val="outset" w:sz="6" w:space="0" w:color="auto"/>
              <w:left w:val="outset" w:sz="6" w:space="0" w:color="auto"/>
              <w:bottom w:val="outset" w:sz="6" w:space="0" w:color="auto"/>
              <w:right w:val="outset" w:sz="6" w:space="0" w:color="auto"/>
            </w:tcBorders>
            <w:vAlign w:val="center"/>
          </w:tcPr>
          <w:p>
            <w:pPr>
              <w:pStyle w:val="4101"/>
              <w:widowControl/>
              <w:ind w:left="210" w:leftChars="100"/>
              <w:jc w:val="left"/>
              <w:textAlignment w:val="center"/>
              <w:rPr>
                <w:rFonts w:ascii="方正仿宋_GBK" w:eastAsia="方正仿宋_GBK" w:hint="eastAsia"/>
                <w:sz w:val="28"/>
                <w:szCs w:val="28"/>
              </w:rPr>
            </w:pPr>
            <w:r>
              <w:rPr>
                <w:rFonts w:ascii="方正仿宋_GBK" w:eastAsia="方正仿宋_GBK" w:hint="eastAsia"/>
                <w:sz w:val="28"/>
                <w:szCs w:val="28"/>
              </w:rPr>
              <w:t>豆</w:t>
              <w:br/>
              <w:t>类</w:t>
              <w:br/>
              <w:t>淀</w:t>
              <w:br/>
              <w:t>粉</w:t>
              <w:br/>
              <w:t>制</w:t>
              <w:br/>
              <w:t>品</w:t>
            </w: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粉皮</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乳白色，半透明，有光泽</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无酸味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方或圆形，揭开后完整不碎</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稍有韧性</w:t>
            </w:r>
          </w:p>
        </w:tc>
      </w:tr>
      <w:tr>
        <w:tblPrEx>
          <w:jc w:val="left"/>
          <w:tblCellSpacing w:w="0" w:type="dxa"/>
          <w:tblInd w:w="-111" w:type="dxa"/>
          <w:tblLayout w:type="fixed"/>
          <w:tblCellMar>
            <w:top w:w="0" w:type="dxa"/>
            <w:left w:w="0" w:type="dxa"/>
            <w:bottom w:w="0" w:type="dxa"/>
            <w:right w:w="0" w:type="dxa"/>
          </w:tblCellMar>
        </w:tblPrEx>
        <w:trPr>
          <w:cantSplit/>
          <w:trHeight w:val="728"/>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麻腐</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乳白色，半透明，有光泽</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无酸味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块形完整</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有弹性</w:t>
            </w:r>
          </w:p>
        </w:tc>
      </w:tr>
      <w:tr>
        <w:tblPrEx>
          <w:jc w:val="left"/>
          <w:tblCellSpacing w:w="0" w:type="dxa"/>
          <w:tblInd w:w="-111" w:type="dxa"/>
          <w:tblLayout w:type="fixed"/>
          <w:tblCellMar>
            <w:top w:w="0" w:type="dxa"/>
            <w:left w:w="0" w:type="dxa"/>
            <w:bottom w:w="0" w:type="dxa"/>
            <w:right w:w="0" w:type="dxa"/>
          </w:tblCellMar>
        </w:tblPrEx>
        <w:trPr>
          <w:cantSplit/>
          <w:trHeight w:val="761"/>
          <w:tblCellSpacing w:w="0" w:type="dxa"/>
          <w:jc w:val="left"/>
        </w:trPr>
        <w:tc>
          <w:tcPr>
            <w:tcW w:w="750" w:type="dxa"/>
            <w:vMerge/>
            <w:tcBorders>
              <w:top w:val="outset" w:sz="6" w:space="0" w:color="auto"/>
              <w:left w:val="outset" w:sz="6" w:space="0" w:color="auto"/>
              <w:bottom w:val="outset" w:sz="6" w:space="0" w:color="auto"/>
              <w:right w:val="outset" w:sz="6" w:space="0" w:color="auto"/>
            </w:tcBorders>
            <w:vAlign w:val="center"/>
          </w:tcPr>
          <w:p/>
        </w:tc>
        <w:tc>
          <w:tcPr>
            <w:tcW w:w="1246"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水粉丝</w:t>
            </w:r>
          </w:p>
        </w:tc>
        <w:tc>
          <w:tcPr>
            <w:tcW w:w="1500"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乳白色，半透明，有光泽</w:t>
            </w:r>
          </w:p>
        </w:tc>
        <w:tc>
          <w:tcPr>
            <w:tcW w:w="1408"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无酸味</w:t>
            </w:r>
          </w:p>
        </w:tc>
        <w:tc>
          <w:tcPr>
            <w:tcW w:w="1719"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长线形，无珠子粒</w:t>
            </w:r>
          </w:p>
        </w:tc>
        <w:tc>
          <w:tcPr>
            <w:tcW w:w="1811" w:type="dxa"/>
            <w:tcBorders>
              <w:top w:val="outset" w:sz="6" w:space="0" w:color="auto"/>
              <w:left w:val="outset" w:sz="6" w:space="0" w:color="auto"/>
              <w:bottom w:val="outset" w:sz="6" w:space="0" w:color="auto"/>
              <w:right w:val="outset" w:sz="6" w:space="0" w:color="auto"/>
            </w:tcBorders>
            <w:vAlign w:val="center"/>
          </w:tcPr>
          <w:p>
            <w:pPr>
              <w:pStyle w:val="4101"/>
              <w:widowControl/>
              <w:jc w:val="left"/>
              <w:textAlignment w:val="center"/>
              <w:rPr>
                <w:rFonts w:ascii="方正仿宋_GBK" w:eastAsia="方正仿宋_GBK" w:hint="eastAsia"/>
                <w:sz w:val="28"/>
                <w:szCs w:val="28"/>
              </w:rPr>
            </w:pPr>
            <w:r>
              <w:rPr>
                <w:rFonts w:ascii="方正仿宋_GBK" w:eastAsia="方正仿宋_GBK" w:hint="eastAsia"/>
                <w:sz w:val="28"/>
                <w:szCs w:val="28"/>
              </w:rPr>
              <w:t>有韧性</w:t>
            </w:r>
          </w:p>
        </w:tc>
      </w:tr>
    </w:tbl>
    <w:p>
      <w:pPr>
        <w:rPr>
          <w:rFonts w:eastAsia="宋体"/>
          <w:color w:val="0000FF"/>
          <w:sz w:val="28"/>
          <w:szCs w:val="36"/>
          <w:highlight w:val="white"/>
          <w:lang w:val="en-US" w:eastAsia="zh-CN"/>
        </w:rPr>
      </w:pPr>
      <w:bookmarkEnd w:id="42"/>
    </w:p>
    <w:p>
      <w:pPr>
        <w:pStyle w:val="Heading1"/>
      </w:pPr>
      <w:r>
        <w:rPr>
          <w:highlight w:val="white"/>
        </w:rPr>
        <w:br w:type="page"/>
      </w:r>
      <w:bookmarkStart w:id="45"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5"/>
    </w:p>
    <w:p>
      <w:bookmarkStart w:id="46"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32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477"/>
        <w:gridCol w:w="7120"/>
        <w:gridCol w:w="1057"/>
      </w:tblGrid>
      <w:tr>
        <w:tblPrEx>
          <w:tblW w:w="532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53" w:type="dxa"/>
          </w:tcPr>
          <w:p>
            <w:r>
              <w:t>主客观项</w:t>
            </w:r>
          </w:p>
        </w:tc>
        <w:tc>
          <w:tcPr>
            <w:tcW w:w="500" w:type="dxa"/>
          </w:tcPr>
          <w:p>
            <w:r>
              <w:t>评审因素</w:t>
            </w:r>
          </w:p>
        </w:tc>
        <w:tc>
          <w:tcPr>
            <w:tcW w:w="7457" w:type="dxa"/>
          </w:tcPr>
          <w:p>
            <w:r>
              <w:t>评分标准说明</w:t>
            </w:r>
          </w:p>
        </w:tc>
        <w:tc>
          <w:tcPr>
            <w:tcW w:w="870" w:type="dxa"/>
          </w:tcPr>
          <w:p>
            <w:r>
              <w:t>分值范围</w:t>
            </w:r>
          </w:p>
        </w:tc>
      </w:tr>
      <w:tr>
        <w:tblPrEx>
          <w:tblW w:w="5323" w:type="pct"/>
          <w:jc w:val="left"/>
          <w:tblInd w:w="0" w:type="dxa"/>
          <w:tblCellMar>
            <w:top w:w="0" w:type="dxa"/>
            <w:left w:w="108" w:type="dxa"/>
            <w:bottom w:w="0" w:type="dxa"/>
            <w:right w:w="108" w:type="dxa"/>
          </w:tblCellMar>
        </w:tblPrEx>
        <w:trPr>
          <w:jc w:val="left"/>
        </w:trPr>
        <w:tc>
          <w:tcPr>
            <w:tcW w:w="253" w:type="dxa"/>
          </w:tcPr>
          <w:p>
            <w:r>
              <w:t>价格分</w:t>
            </w:r>
          </w:p>
        </w:tc>
        <w:tc>
          <w:tcPr>
            <w:tcW w:w="500" w:type="dxa"/>
            <w:tcBorders>
              <w:top w:val="single" w:sz="4" w:space="0" w:color="auto"/>
              <w:left w:val="single" w:sz="4" w:space="0" w:color="auto"/>
              <w:right w:val="single" w:sz="4" w:space="0" w:color="auto"/>
            </w:tcBorders>
          </w:tcPr>
          <w:p>
            <w:r>
              <w:t>价格评审</w:t>
            </w:r>
          </w:p>
        </w:tc>
        <w:tc>
          <w:tcPr>
            <w:tcW w:w="7457"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870" w:type="dxa"/>
          </w:tcPr>
          <w:p>
            <w:r>
              <w:t>区间打分(0-30)</w:t>
            </w:r>
          </w:p>
        </w:tc>
      </w:tr>
      <w:tr>
        <w:tblPrEx>
          <w:tblW w:w="5323" w:type="pct"/>
          <w:jc w:val="left"/>
          <w:tblInd w:w="0" w:type="dxa"/>
          <w:tblCellMar>
            <w:top w:w="0" w:type="dxa"/>
            <w:left w:w="108" w:type="dxa"/>
            <w:bottom w:w="0" w:type="dxa"/>
            <w:right w:w="108" w:type="dxa"/>
          </w:tblCellMar>
        </w:tblPrEx>
        <w:trPr>
          <w:jc w:val="left"/>
        </w:trPr>
        <w:tc>
          <w:tcPr>
            <w:tcW w:w="253" w:type="dxa"/>
            <w:vMerge w:val="restart"/>
          </w:tcPr>
          <w:p>
            <w:r>
              <w:t>商务部分</w:t>
            </w:r>
          </w:p>
        </w:tc>
        <w:tc>
          <w:tcPr>
            <w:tcW w:w="500" w:type="dxa"/>
            <w:tcBorders>
              <w:top w:val="single" w:sz="4" w:space="0" w:color="auto"/>
              <w:left w:val="single" w:sz="4" w:space="0" w:color="auto"/>
              <w:right w:val="single" w:sz="4" w:space="0" w:color="auto"/>
            </w:tcBorders>
          </w:tcPr>
          <w:p>
            <w:r>
              <w:t>投标人综合实力</w:t>
            </w:r>
          </w:p>
        </w:tc>
        <w:tc>
          <w:tcPr>
            <w:tcW w:w="7457" w:type="dxa"/>
            <w:tcBorders>
              <w:top w:val="single" w:sz="4" w:space="0" w:color="auto"/>
              <w:left w:val="single" w:sz="4" w:space="0" w:color="auto"/>
              <w:right w:val="single" w:sz="4" w:space="0" w:color="auto"/>
            </w:tcBorders>
          </w:tcPr>
          <w:p>
            <w:r>
              <w:t>1.提供投标人的质量管理体系认证证书（ISO 9001或GB/T19001）的得1分，否则得0分； 2.提供投标人的环境管理体系认证证书（ISO14001 或GB/T24001）的得1分，否则得0分； 3.提供投标人的食品安全管理体系认证证书（ISO 22000）的得1分，否则得0分； 4.提供投标人的职业健康安全管理体系认证证书（OHSAS18001 或ISO45001 或GB/T28001）的得1分，否则得0分。</w:t>
            </w:r>
          </w:p>
        </w:tc>
        <w:tc>
          <w:tcPr>
            <w:tcW w:w="870" w:type="dxa"/>
          </w:tcPr>
          <w:p>
            <w:r>
              <w:t>勾选打分(0;1;2;3;4)</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投标人业绩</w:t>
            </w:r>
          </w:p>
        </w:tc>
        <w:tc>
          <w:tcPr>
            <w:tcW w:w="7457" w:type="dxa"/>
            <w:tcBorders>
              <w:top w:val="single" w:sz="4" w:space="0" w:color="auto"/>
              <w:left w:val="single" w:sz="4" w:space="0" w:color="auto"/>
              <w:right w:val="single" w:sz="4" w:space="0" w:color="auto"/>
            </w:tcBorders>
          </w:tcPr>
          <w:p>
            <w:r>
              <w:t>投标人须提供与本项目类似的食品采购销售业绩 ，提供一份有效合同得1分，最多得3分。  注1.合同签订时间须为2021年8月1日起至本项目招标公告发布之日止。  注2.合同销售或服务方（乙方）必须为投标人自身且业绩合同中必须至少包含合同双方印章、签字、签订时间、合同履行第一笔付款乙方开具的发票复印件等信息内容（以上内容缺少一项，案例不予承认）。  注3.提供销售业绩合同复印件须字迹清晰，辨识无误。  不符合上述要求或未按要求提供有效证明文件的业绩在评审时将不予以承认。</w:t>
            </w:r>
          </w:p>
        </w:tc>
        <w:tc>
          <w:tcPr>
            <w:tcW w:w="870" w:type="dxa"/>
          </w:tcPr>
          <w:p>
            <w:r>
              <w:t>勾选打分(0;1;2;3)</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食品检测情况</w:t>
            </w:r>
          </w:p>
        </w:tc>
        <w:tc>
          <w:tcPr>
            <w:tcW w:w="7457" w:type="dxa"/>
            <w:tcBorders>
              <w:top w:val="single" w:sz="4" w:space="0" w:color="auto"/>
              <w:left w:val="single" w:sz="4" w:space="0" w:color="auto"/>
              <w:right w:val="single" w:sz="4" w:space="0" w:color="auto"/>
            </w:tcBorders>
          </w:tcPr>
          <w:p>
            <w:r>
              <w:t>根据投标人提供的第三方检测机构出具的加盖CMA印章的2023年内检测报告的情况打分，投标人每提供一个各类食堂原材料的第三方检测报告的得0.5分，最高得3分。提供相关检测报告复印件加盖投标人公章，未提供或不符合的得0分。 注1：检测报告系指投标人2023年内完成其他项目过程中所供货物的检验检测报告，且委托人必须是投标人。未提供或未按要求提供的，以及提供的证明材料不清晰导致无法识别的得不得分，提供原件备查。 注2：检测内容包括但不限于畜肉类、禽肉类、禽蛋类、鱼虾类、蔬菜类、水果、粮食、植物油、饮料乳制品类、调料类等。</w:t>
            </w:r>
          </w:p>
        </w:tc>
        <w:tc>
          <w:tcPr>
            <w:tcW w:w="870" w:type="dxa"/>
          </w:tcPr>
          <w:p>
            <w:r>
              <w:t>区间打分(0-3)</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食品安全管理师证明</w:t>
            </w:r>
          </w:p>
        </w:tc>
        <w:tc>
          <w:tcPr>
            <w:tcW w:w="7457" w:type="dxa"/>
            <w:tcBorders>
              <w:top w:val="single" w:sz="4" w:space="0" w:color="auto"/>
              <w:left w:val="single" w:sz="4" w:space="0" w:color="auto"/>
              <w:right w:val="single" w:sz="4" w:space="0" w:color="auto"/>
            </w:tcBorders>
          </w:tcPr>
          <w:p>
            <w:r>
              <w:t>投标人提供食品安全管理师证书资质人员的得1分，否则得0分。 注：须提供食品安全管理师证书彩色扫描件，及距开标之日3个月内任意一个月持证人的社保证明材料，否则该项不得分。</w:t>
            </w:r>
          </w:p>
        </w:tc>
        <w:tc>
          <w:tcPr>
            <w:tcW w:w="870" w:type="dxa"/>
          </w:tcPr>
          <w:p>
            <w:r>
              <w:t>勾选打分(0;1)</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供货渠道的多样性</w:t>
            </w:r>
          </w:p>
        </w:tc>
        <w:tc>
          <w:tcPr>
            <w:tcW w:w="7457" w:type="dxa"/>
            <w:tcBorders>
              <w:top w:val="single" w:sz="4" w:space="0" w:color="auto"/>
              <w:left w:val="single" w:sz="4" w:space="0" w:color="auto"/>
              <w:right w:val="single" w:sz="4" w:space="0" w:color="auto"/>
            </w:tcBorders>
          </w:tcPr>
          <w:p>
            <w:r>
              <w:t>1.投标人提供自有或签约的在有效期内的养殖厂、屠宰场、食品加工车间和果蔬农场,每有一个得0.5分,最高2分。 (提供图片和文字性说明,房屋产权证或场地租赁合同等相关证明文件的彩色扫描件)。 2.投标人具有猪肉、鸡肉、鸭肉、鱼肉、蔬菜、调料、食用油、大米、面粉、副食等商品直销证明或地区代理经销商或其他相关证明的,每提供一份证明得0.5分,最高2分。 (投标人须在投标文件中提供相关商品供货渠道的证明文件并加盖投标人公章的彩色扫描件。)</w:t>
            </w:r>
          </w:p>
        </w:tc>
        <w:tc>
          <w:tcPr>
            <w:tcW w:w="870" w:type="dxa"/>
          </w:tcPr>
          <w:p>
            <w:r>
              <w:t>区间打分(0-4)</w:t>
            </w:r>
          </w:p>
        </w:tc>
      </w:tr>
      <w:tr>
        <w:tblPrEx>
          <w:tblW w:w="5323" w:type="pct"/>
          <w:jc w:val="left"/>
          <w:tblInd w:w="0" w:type="dxa"/>
          <w:tblCellMar>
            <w:top w:w="0" w:type="dxa"/>
            <w:left w:w="108" w:type="dxa"/>
            <w:bottom w:w="0" w:type="dxa"/>
            <w:right w:w="108" w:type="dxa"/>
          </w:tblCellMar>
        </w:tblPrEx>
        <w:trPr>
          <w:jc w:val="left"/>
        </w:trPr>
        <w:tc>
          <w:tcPr>
            <w:tcW w:w="253" w:type="dxa"/>
            <w:vMerge w:val="restart"/>
          </w:tcPr>
          <w:p>
            <w:r>
              <w:t>技术部分</w:t>
            </w:r>
          </w:p>
        </w:tc>
        <w:tc>
          <w:tcPr>
            <w:tcW w:w="500" w:type="dxa"/>
            <w:tcBorders>
              <w:top w:val="single" w:sz="4" w:space="0" w:color="auto"/>
              <w:left w:val="single" w:sz="4" w:space="0" w:color="auto"/>
              <w:right w:val="single" w:sz="4" w:space="0" w:color="auto"/>
            </w:tcBorders>
          </w:tcPr>
          <w:p>
            <w:r>
              <w:t>质量标准响应情况</w:t>
            </w:r>
          </w:p>
        </w:tc>
        <w:tc>
          <w:tcPr>
            <w:tcW w:w="7457" w:type="dxa"/>
            <w:tcBorders>
              <w:top w:val="single" w:sz="4" w:space="0" w:color="auto"/>
              <w:left w:val="single" w:sz="4" w:space="0" w:color="auto"/>
              <w:right w:val="single" w:sz="4" w:space="0" w:color="auto"/>
            </w:tcBorders>
          </w:tcPr>
          <w:p>
            <w:r>
              <w:t>投标人的投标产品响应完全满足招标文件项目需求书中“三、采购需求 3.货物质量及服务标准”相关要求，应答无负偏离的得24分； 每有一项负偏离的扣1.5分。</w:t>
            </w:r>
          </w:p>
        </w:tc>
        <w:tc>
          <w:tcPr>
            <w:tcW w:w="870" w:type="dxa"/>
          </w:tcPr>
          <w:p>
            <w:r>
              <w:t>区间打分(0-24)</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验收要求响应情况</w:t>
            </w:r>
          </w:p>
        </w:tc>
        <w:tc>
          <w:tcPr>
            <w:tcW w:w="7457" w:type="dxa"/>
            <w:tcBorders>
              <w:top w:val="single" w:sz="4" w:space="0" w:color="auto"/>
              <w:left w:val="single" w:sz="4" w:space="0" w:color="auto"/>
              <w:right w:val="single" w:sz="4" w:space="0" w:color="auto"/>
            </w:tcBorders>
          </w:tcPr>
          <w:p>
            <w:r>
              <w:t>投标人的投标产品响应完全满足招标文件项目需求书中“七、食品验收  6.其他”相关要求，应答无负偏离的得10.5分； 每有一项负偏离的扣1.5分。</w:t>
            </w:r>
          </w:p>
        </w:tc>
        <w:tc>
          <w:tcPr>
            <w:tcW w:w="870" w:type="dxa"/>
          </w:tcPr>
          <w:p>
            <w:r>
              <w:t>区间打分(0-10.5)</w:t>
            </w:r>
          </w:p>
        </w:tc>
      </w:tr>
      <w:tr>
        <w:tblPrEx>
          <w:tblW w:w="5323" w:type="pct"/>
          <w:jc w:val="left"/>
          <w:tblInd w:w="0" w:type="dxa"/>
          <w:tblCellMar>
            <w:top w:w="0" w:type="dxa"/>
            <w:left w:w="108" w:type="dxa"/>
            <w:bottom w:w="0" w:type="dxa"/>
            <w:right w:w="108" w:type="dxa"/>
          </w:tblCellMar>
        </w:tblPrEx>
        <w:trPr>
          <w:jc w:val="left"/>
        </w:trPr>
        <w:tc>
          <w:tcPr>
            <w:tcW w:w="253" w:type="dxa"/>
            <w:vMerge w:val="restart"/>
          </w:tcPr>
          <w:p>
            <w:r>
              <w:t>服务部分</w:t>
            </w:r>
          </w:p>
        </w:tc>
        <w:tc>
          <w:tcPr>
            <w:tcW w:w="500" w:type="dxa"/>
            <w:tcBorders>
              <w:top w:val="single" w:sz="4" w:space="0" w:color="auto"/>
              <w:left w:val="single" w:sz="4" w:space="0" w:color="auto"/>
              <w:right w:val="single" w:sz="4" w:space="0" w:color="auto"/>
            </w:tcBorders>
          </w:tcPr>
          <w:p>
            <w:r>
              <w:t>食材检测能力</w:t>
            </w:r>
          </w:p>
        </w:tc>
        <w:tc>
          <w:tcPr>
            <w:tcW w:w="7457" w:type="dxa"/>
            <w:tcBorders>
              <w:top w:val="single" w:sz="4" w:space="0" w:color="auto"/>
              <w:left w:val="single" w:sz="4" w:space="0" w:color="auto"/>
              <w:right w:val="single" w:sz="4" w:space="0" w:color="auto"/>
            </w:tcBorders>
          </w:tcPr>
          <w:p>
            <w:r>
              <w:t>投标人提供自有或租赁食材检验室及检测设备证明材料，检测设备中需包括但不限于可对农药残留、重金属残留、肉类品质（如瘦肉精、肉类水分）进行检测的设备，每有一个符合检测条件的证明材料得1分，最高3分。注：注：需提检验检疫设备的清单（后附设备购买发票或租赁合同）、检测能力说明及检验工作间包含设备的现场照片。如为检测公司到场检测的，还需提供检测公司驻场证明。</w:t>
            </w:r>
          </w:p>
        </w:tc>
        <w:tc>
          <w:tcPr>
            <w:tcW w:w="870" w:type="dxa"/>
          </w:tcPr>
          <w:p>
            <w:r>
              <w:t>区间打分(0-3)</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运输能力</w:t>
            </w:r>
          </w:p>
        </w:tc>
        <w:tc>
          <w:tcPr>
            <w:tcW w:w="7457" w:type="dxa"/>
            <w:tcBorders>
              <w:top w:val="single" w:sz="4" w:space="0" w:color="auto"/>
              <w:left w:val="single" w:sz="4" w:space="0" w:color="auto"/>
              <w:right w:val="single" w:sz="4" w:space="0" w:color="auto"/>
            </w:tcBorders>
          </w:tcPr>
          <w:p>
            <w:r>
              <w:t>1.投标人具有自有或租赁冷藏车辆，每有1 辆得1 分，最高得3分。注：自有车辆需提供与公司信息一致的车辆登记证书、行驶证及车辆正面照片、车辆保险加盖本单位公章；租赁车辆需提供车辆租赁合同的复印件及车辆登记证书、行驶证及车辆正面照片、车辆保险的扫描件加盖本单位公章及车辆所有者的公章，证明材料不全的不得分。 2.投标人具有自有或租赁配送车辆（不含冷藏车辆）每有1 辆得1分，最高得3分。注：自有车辆需提供与公司信息一致的车辆登记证书、行驶证及车辆正面照片、车辆保险加盖本单位公章；租赁车辆需提供车辆租赁合同的复印件及车辆登记证书、行驶证及车辆正面照片、车辆保险的扫描件加盖本单位公章及车辆所有者的公章，证明材料不全的不得分。</w:t>
            </w:r>
          </w:p>
        </w:tc>
        <w:tc>
          <w:tcPr>
            <w:tcW w:w="870" w:type="dxa"/>
          </w:tcPr>
          <w:p>
            <w:r>
              <w:t>区间打分(0-6)</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重点工作方案</w:t>
            </w:r>
          </w:p>
        </w:tc>
        <w:tc>
          <w:tcPr>
            <w:tcW w:w="7457" w:type="dxa"/>
            <w:tcBorders>
              <w:top w:val="single" w:sz="4" w:space="0" w:color="auto"/>
              <w:left w:val="single" w:sz="4" w:space="0" w:color="auto"/>
              <w:right w:val="single" w:sz="4" w:space="0" w:color="auto"/>
            </w:tcBorders>
          </w:tcPr>
          <w:p>
            <w:r>
              <w:t>针对本项目的重点工作方案（包括但不限于以下方案）： 1.供货及实施方案； 2.公司内部采购流程； 3.公司分拣设施流程、储存流程； 4.食材质量保障方案； 5.交货验收标准。  上述五项内容，每一项细致阐述，阐述合理、完善，并对该项内容重点难点进行分析的，则每项得1.5分；以上五项，每一项阐述较为清晰，基本满足采购需求的，则每项得0.5分；以上五项,每一项阐述不清或未阐述的,则单项不得分。</w:t>
            </w:r>
          </w:p>
        </w:tc>
        <w:tc>
          <w:tcPr>
            <w:tcW w:w="870" w:type="dxa"/>
          </w:tcPr>
          <w:p>
            <w:r>
              <w:t>区间打分(0-7.5)</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应急保障方案</w:t>
            </w:r>
          </w:p>
        </w:tc>
        <w:tc>
          <w:tcPr>
            <w:tcW w:w="7457" w:type="dxa"/>
            <w:tcBorders>
              <w:top w:val="single" w:sz="4" w:space="0" w:color="auto"/>
              <w:left w:val="single" w:sz="4" w:space="0" w:color="auto"/>
              <w:right w:val="single" w:sz="4" w:space="0" w:color="auto"/>
            </w:tcBorders>
          </w:tcPr>
          <w:p>
            <w:r>
              <w:t>投标人提供对供货过程中出现的临时性配送任务、食品安全事件、运输突发事件等采取的应急保障方案。方案阐述清晰、具有针对性、可操作性强，得2分；方案阐述欠清晰、针对性不足、可操作性存在缺陷的，得1分。未提供方案的，得0分。</w:t>
            </w:r>
          </w:p>
        </w:tc>
        <w:tc>
          <w:tcPr>
            <w:tcW w:w="870" w:type="dxa"/>
          </w:tcPr>
          <w:p>
            <w:r>
              <w:t>勾选打分(0;1;2)</w:t>
            </w:r>
          </w:p>
        </w:tc>
      </w:tr>
      <w:tr>
        <w:tblPrEx>
          <w:tblW w:w="5323" w:type="pct"/>
          <w:jc w:val="left"/>
          <w:tblInd w:w="0" w:type="dxa"/>
          <w:tblCellMar>
            <w:top w:w="0" w:type="dxa"/>
            <w:left w:w="108" w:type="dxa"/>
            <w:bottom w:w="0" w:type="dxa"/>
            <w:right w:w="108" w:type="dxa"/>
          </w:tblCellMar>
        </w:tblPrEx>
        <w:trPr>
          <w:jc w:val="left"/>
        </w:trPr>
        <w:tc>
          <w:tcPr>
            <w:tcW w:w="253" w:type="dxa"/>
            <w:vMerge/>
          </w:tcPr>
          <w:p/>
        </w:tc>
        <w:tc>
          <w:tcPr>
            <w:tcW w:w="500" w:type="dxa"/>
            <w:tcBorders>
              <w:top w:val="single" w:sz="4" w:space="0" w:color="auto"/>
              <w:left w:val="single" w:sz="4" w:space="0" w:color="auto"/>
              <w:right w:val="single" w:sz="4" w:space="0" w:color="auto"/>
            </w:tcBorders>
          </w:tcPr>
          <w:p>
            <w:r>
              <w:t>售后服务方案</w:t>
            </w:r>
          </w:p>
        </w:tc>
        <w:tc>
          <w:tcPr>
            <w:tcW w:w="7457" w:type="dxa"/>
            <w:tcBorders>
              <w:top w:val="single" w:sz="4" w:space="0" w:color="auto"/>
              <w:left w:val="single" w:sz="4" w:space="0" w:color="auto"/>
              <w:right w:val="single" w:sz="4" w:space="0" w:color="auto"/>
            </w:tcBorders>
          </w:tcPr>
          <w:p>
            <w:r>
              <w:t>根据投标人针对本项目提供的售后服务方案进行打分（包括但不限于退换货措施等）整体售后服务方案内容全面，有针对性，得2分；整体售后服务方案内容不够全面、缺乏针对性，得1分；未提供售后服务方案的，得0分。</w:t>
            </w:r>
          </w:p>
        </w:tc>
        <w:tc>
          <w:tcPr>
            <w:tcW w:w="870" w:type="dxa"/>
          </w:tcPr>
          <w:p>
            <w:r>
              <w:t>区间打分(0-2)</w:t>
            </w:r>
          </w:p>
        </w:tc>
      </w:tr>
    </w:tbl>
    <w:p>
      <w:pPr>
        <w:pStyle w:val="49100"/>
        <w:rPr>
          <w:rFonts w:ascii="Times New Roman" w:eastAsia="宋体" w:hAnsi="Times New Roman"/>
          <w:color w:val="0000FF"/>
          <w:sz w:val="28"/>
          <w:szCs w:val="32"/>
          <w:lang w:val="en-US" w:eastAsia="zh-CN"/>
        </w:rPr>
      </w:pPr>
      <w:bookmarkEnd w:id="46"/>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7"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7"/>
    </w:p>
    <w:p>
      <w:pPr>
        <w:spacing w:line="400" w:lineRule="exact"/>
      </w:pPr>
      <w:r>
        <w:rPr>
          <w:rFonts w:eastAsia="方正小标宋_GBK"/>
          <w:color w:val="000000"/>
          <w:sz w:val="44"/>
        </w:rPr>
        <w:t xml:space="preserve">     </w:t>
      </w:r>
      <w:bookmarkStart w:id="48" w:name="插入_TBWJGS_CONTRACT"/>
      <w:bookmarkStart w:id="49" w:name="插入_采购需求书_0"/>
    </w:p>
    <w:p>
      <w:pPr>
        <w:pStyle w:val="5100"/>
        <w:spacing w:line="400" w:lineRule="exact"/>
        <w:jc w:val="center"/>
        <w:rPr>
          <w:rFonts w:ascii="宋体"/>
          <w:sz w:val="36"/>
          <w:szCs w:val="36"/>
        </w:rPr>
      </w:pPr>
      <w:r>
        <w:rPr>
          <w:rFonts w:ascii="宋体" w:cs="宋体" w:hint="eastAsia"/>
          <w:b/>
          <w:bCs/>
          <w:sz w:val="36"/>
          <w:szCs w:val="36"/>
        </w:rPr>
        <w:t>采购合同</w:t>
      </w:r>
    </w:p>
    <w:p>
      <w:pPr>
        <w:pStyle w:val="5100"/>
        <w:spacing w:line="400" w:lineRule="exact"/>
        <w:rPr>
          <w:rFonts w:ascii="宋体"/>
          <w:sz w:val="24"/>
        </w:rPr>
      </w:pPr>
    </w:p>
    <w:p>
      <w:pPr>
        <w:pStyle w:val="5100"/>
        <w:spacing w:line="400" w:lineRule="exact"/>
        <w:rPr>
          <w:rFonts w:ascii="宋体"/>
          <w:sz w:val="24"/>
        </w:rPr>
      </w:pPr>
    </w:p>
    <w:p>
      <w:pPr>
        <w:pStyle w:val="5100"/>
        <w:spacing w:line="400" w:lineRule="exact"/>
        <w:rPr>
          <w:rFonts w:ascii="宋体"/>
          <w:sz w:val="24"/>
        </w:rPr>
      </w:pPr>
    </w:p>
    <w:p>
      <w:pPr>
        <w:pStyle w:val="5100"/>
        <w:spacing w:line="400" w:lineRule="exact"/>
        <w:rPr>
          <w:rFonts w:ascii="宋体"/>
          <w:sz w:val="24"/>
        </w:rPr>
      </w:pPr>
    </w:p>
    <w:p>
      <w:pPr>
        <w:pStyle w:val="5100"/>
        <w:spacing w:line="400" w:lineRule="exact"/>
        <w:rPr>
          <w:rFonts w:ascii="宋体"/>
          <w:sz w:val="24"/>
        </w:rPr>
      </w:pPr>
      <w:r>
        <w:rPr>
          <w:rFonts w:ascii="宋体" w:hint="eastAsia"/>
          <w:sz w:val="24"/>
        </w:rPr>
        <w:t>甲  方： 中国电子口岸数据中心</w:t>
      </w:r>
    </w:p>
    <w:p>
      <w:pPr>
        <w:pStyle w:val="5100"/>
        <w:spacing w:line="400" w:lineRule="exact"/>
        <w:rPr>
          <w:rFonts w:ascii="宋体"/>
          <w:sz w:val="24"/>
        </w:rPr>
      </w:pPr>
      <w:r>
        <w:rPr>
          <w:rFonts w:ascii="宋体" w:hint="eastAsia"/>
          <w:sz w:val="24"/>
        </w:rPr>
        <w:t xml:space="preserve">地  址： </w:t>
      </w:r>
    </w:p>
    <w:p>
      <w:pPr>
        <w:pStyle w:val="5100"/>
        <w:spacing w:line="400" w:lineRule="exact"/>
        <w:rPr>
          <w:rFonts w:ascii="宋体"/>
          <w:sz w:val="24"/>
        </w:rPr>
      </w:pPr>
      <w:r>
        <w:rPr>
          <w:rFonts w:ascii="宋体" w:hint="eastAsia"/>
          <w:sz w:val="24"/>
        </w:rPr>
        <w:t xml:space="preserve">法定代表人： </w:t>
      </w:r>
    </w:p>
    <w:p>
      <w:pPr>
        <w:pStyle w:val="5100"/>
        <w:spacing w:line="400" w:lineRule="exact"/>
        <w:rPr>
          <w:rFonts w:ascii="宋体"/>
          <w:sz w:val="24"/>
        </w:rPr>
      </w:pPr>
      <w:r>
        <w:rPr>
          <w:rFonts w:ascii="宋体" w:hint="eastAsia"/>
          <w:sz w:val="24"/>
        </w:rPr>
        <w:t xml:space="preserve">联系人： </w:t>
      </w:r>
    </w:p>
    <w:p>
      <w:pPr>
        <w:pStyle w:val="5100"/>
        <w:spacing w:line="400" w:lineRule="exact"/>
        <w:rPr>
          <w:rFonts w:ascii="宋体"/>
          <w:sz w:val="24"/>
        </w:rPr>
      </w:pPr>
      <w:r>
        <w:rPr>
          <w:rFonts w:ascii="宋体" w:hint="eastAsia"/>
          <w:sz w:val="24"/>
        </w:rPr>
        <w:t>电  话：</w:t>
      </w:r>
    </w:p>
    <w:p>
      <w:pPr>
        <w:pStyle w:val="5100"/>
        <w:spacing w:line="400" w:lineRule="exact"/>
        <w:rPr>
          <w:rFonts w:ascii="宋体"/>
          <w:sz w:val="24"/>
        </w:rPr>
      </w:pPr>
    </w:p>
    <w:p>
      <w:pPr>
        <w:pStyle w:val="5100"/>
        <w:spacing w:line="360" w:lineRule="auto"/>
        <w:jc w:val="left"/>
        <w:rPr>
          <w:rFonts w:ascii="宋体"/>
          <w:sz w:val="24"/>
        </w:rPr>
      </w:pPr>
    </w:p>
    <w:p>
      <w:pPr>
        <w:pStyle w:val="5100"/>
        <w:spacing w:line="400" w:lineRule="exact"/>
        <w:rPr>
          <w:rFonts w:ascii="宋体"/>
          <w:sz w:val="24"/>
        </w:rPr>
      </w:pPr>
      <w:r>
        <w:rPr>
          <w:rFonts w:ascii="宋体" w:hint="eastAsia"/>
          <w:sz w:val="24"/>
        </w:rPr>
        <w:t xml:space="preserve">乙  方： </w:t>
      </w:r>
    </w:p>
    <w:p>
      <w:pPr>
        <w:pStyle w:val="5100"/>
        <w:spacing w:line="400" w:lineRule="exact"/>
        <w:rPr>
          <w:rFonts w:ascii="宋体"/>
          <w:sz w:val="24"/>
        </w:rPr>
      </w:pPr>
      <w:r>
        <w:rPr>
          <w:rFonts w:ascii="宋体" w:hint="eastAsia"/>
          <w:sz w:val="24"/>
        </w:rPr>
        <w:t xml:space="preserve">地  址： </w:t>
      </w:r>
    </w:p>
    <w:p>
      <w:pPr>
        <w:pStyle w:val="5100"/>
        <w:spacing w:line="400" w:lineRule="exact"/>
        <w:rPr>
          <w:rFonts w:ascii="宋体"/>
          <w:sz w:val="24"/>
        </w:rPr>
      </w:pPr>
      <w:r>
        <w:rPr>
          <w:rFonts w:ascii="宋体" w:hint="eastAsia"/>
          <w:sz w:val="24"/>
        </w:rPr>
        <w:t xml:space="preserve">法定代表人： </w:t>
      </w:r>
    </w:p>
    <w:p>
      <w:pPr>
        <w:pStyle w:val="5100"/>
        <w:spacing w:line="400" w:lineRule="exact"/>
        <w:rPr>
          <w:rFonts w:ascii="宋体"/>
          <w:sz w:val="24"/>
        </w:rPr>
      </w:pPr>
      <w:r>
        <w:rPr>
          <w:rFonts w:ascii="宋体" w:hint="eastAsia"/>
          <w:sz w:val="24"/>
        </w:rPr>
        <w:t xml:space="preserve">联系人： </w:t>
      </w:r>
    </w:p>
    <w:p>
      <w:pPr>
        <w:pStyle w:val="5100"/>
        <w:spacing w:line="400" w:lineRule="exact"/>
        <w:rPr>
          <w:rFonts w:ascii="宋体"/>
          <w:sz w:val="24"/>
        </w:rPr>
      </w:pPr>
      <w:r>
        <w:rPr>
          <w:rFonts w:ascii="宋体" w:hint="eastAsia"/>
          <w:sz w:val="24"/>
        </w:rPr>
        <w:t>电  话：</w:t>
      </w:r>
    </w:p>
    <w:p>
      <w:pPr>
        <w:pStyle w:val="5100"/>
        <w:spacing w:line="400" w:lineRule="exact"/>
        <w:rPr>
          <w:rFonts w:ascii="宋体"/>
          <w:sz w:val="24"/>
        </w:rPr>
      </w:pPr>
    </w:p>
    <w:p>
      <w:pPr>
        <w:pStyle w:val="5100"/>
        <w:autoSpaceDN w:val="0"/>
        <w:spacing w:line="360" w:lineRule="auto"/>
        <w:ind w:firstLine="480"/>
        <w:rPr>
          <w:rFonts w:ascii="宋体"/>
          <w:sz w:val="24"/>
        </w:rPr>
      </w:pPr>
    </w:p>
    <w:p>
      <w:pPr>
        <w:pStyle w:val="5100"/>
        <w:autoSpaceDN w:val="0"/>
        <w:spacing w:line="360" w:lineRule="auto"/>
        <w:ind w:firstLine="480"/>
        <w:rPr>
          <w:rFonts w:ascii="宋体"/>
          <w:sz w:val="24"/>
        </w:rPr>
      </w:pPr>
    </w:p>
    <w:p>
      <w:pPr>
        <w:pStyle w:val="5100"/>
        <w:autoSpaceDN w:val="0"/>
        <w:spacing w:line="360" w:lineRule="auto"/>
        <w:ind w:firstLine="480"/>
        <w:rPr>
          <w:rFonts w:ascii="宋体"/>
          <w:sz w:val="24"/>
        </w:rPr>
      </w:pPr>
    </w:p>
    <w:p>
      <w:pPr>
        <w:pStyle w:val="5100"/>
        <w:autoSpaceDN w:val="0"/>
        <w:spacing w:line="360" w:lineRule="auto"/>
        <w:ind w:firstLine="480"/>
        <w:rPr>
          <w:rFonts w:ascii="宋体"/>
          <w:sz w:val="24"/>
        </w:rPr>
      </w:pPr>
      <w:r>
        <w:rPr>
          <w:rFonts w:ascii="宋体" w:hint="eastAsia"/>
          <w:sz w:val="24"/>
        </w:rPr>
        <w:t>根据《中华人民共和国民法典》及其他有关法律、法规之规定，经友好协商，在平等互利的基础上，甲、乙双方就</w:t>
      </w:r>
      <w:r>
        <w:rPr>
          <w:rFonts w:ascii="宋体" w:hint="eastAsia"/>
          <w:sz w:val="24"/>
          <w:u w:val="single"/>
        </w:rPr>
        <w:t xml:space="preserve">         </w:t>
      </w:r>
      <w:r>
        <w:rPr>
          <w:rFonts w:ascii="宋体" w:hint="eastAsia"/>
          <w:sz w:val="24"/>
        </w:rPr>
        <w:t>采购事宜，达成如下协议：</w:t>
      </w:r>
    </w:p>
    <w:p>
      <w:pPr>
        <w:pStyle w:val="5100"/>
        <w:autoSpaceDN w:val="0"/>
        <w:spacing w:line="360" w:lineRule="auto"/>
        <w:rPr>
          <w:rFonts w:ascii="宋体"/>
          <w:b/>
          <w:bCs/>
          <w:sz w:val="24"/>
        </w:rPr>
      </w:pPr>
      <w:r>
        <w:rPr>
          <w:rFonts w:ascii="宋体" w:hint="eastAsia"/>
          <w:b/>
          <w:bCs/>
          <w:sz w:val="24"/>
        </w:rPr>
        <w:t xml:space="preserve">    一、采购清单</w:t>
      </w:r>
    </w:p>
    <w:p>
      <w:pPr>
        <w:pStyle w:val="5100"/>
        <w:autoSpaceDN w:val="0"/>
        <w:spacing w:line="360" w:lineRule="auto"/>
        <w:ind w:firstLine="480"/>
        <w:rPr>
          <w:rFonts w:ascii="宋体"/>
          <w:sz w:val="24"/>
        </w:rPr>
      </w:pPr>
      <w:r>
        <w:rPr>
          <w:rFonts w:ascii="宋体" w:hint="eastAsia"/>
          <w:sz w:val="24"/>
        </w:rPr>
        <w:t>甲方顺义食堂日常所需要采购的食品种类包括但不限于：面条、米线、畜禽肉、水产品、禽蛋、冻品、蔬菜、水果、豆腐及豆制品、调料、米、面、油等。</w:t>
      </w:r>
    </w:p>
    <w:p>
      <w:pPr>
        <w:pStyle w:val="5100"/>
        <w:autoSpaceDN w:val="0"/>
        <w:spacing w:line="360" w:lineRule="auto"/>
        <w:ind w:firstLine="480" w:firstLineChars="200"/>
        <w:rPr>
          <w:rFonts w:ascii="宋体"/>
          <w:sz w:val="24"/>
        </w:rPr>
      </w:pPr>
      <w:r>
        <w:rPr>
          <w:rFonts w:ascii="宋体" w:hint="eastAsia"/>
          <w:sz w:val="24"/>
        </w:rPr>
        <w:t>甲方在乙方交货日前一天将以上食品种类按照实际需求编制成采购清单。</w:t>
      </w:r>
    </w:p>
    <w:p>
      <w:pPr>
        <w:pStyle w:val="5100"/>
        <w:autoSpaceDN w:val="0"/>
        <w:spacing w:line="360" w:lineRule="auto"/>
        <w:rPr>
          <w:rFonts w:ascii="宋体"/>
          <w:b/>
          <w:bCs/>
          <w:sz w:val="24"/>
        </w:rPr>
      </w:pPr>
      <w:r>
        <w:rPr>
          <w:rFonts w:ascii="宋体" w:hint="eastAsia"/>
          <w:b/>
          <w:bCs/>
          <w:sz w:val="24"/>
        </w:rPr>
        <w:t xml:space="preserve">    二、交货方法（运输方式）、交货地点</w:t>
      </w:r>
    </w:p>
    <w:p>
      <w:pPr>
        <w:pStyle w:val="5100"/>
        <w:autoSpaceDN w:val="0"/>
        <w:spacing w:line="360" w:lineRule="auto"/>
        <w:ind w:firstLine="480"/>
        <w:rPr>
          <w:rFonts w:ascii="宋体"/>
          <w:sz w:val="24"/>
        </w:rPr>
      </w:pPr>
      <w:r>
        <w:rPr>
          <w:rFonts w:ascii="宋体" w:hint="eastAsia"/>
          <w:sz w:val="24"/>
        </w:rPr>
        <w:t>1.交货方法：</w:t>
      </w:r>
    </w:p>
    <w:p>
      <w:pPr>
        <w:pStyle w:val="5100"/>
        <w:autoSpaceDN w:val="0"/>
        <w:spacing w:line="360" w:lineRule="auto"/>
        <w:ind w:firstLine="480"/>
        <w:rPr>
          <w:rFonts w:ascii="宋体"/>
          <w:sz w:val="24"/>
        </w:rPr>
      </w:pPr>
      <w:r>
        <w:rPr>
          <w:rFonts w:ascii="宋体" w:hint="eastAsia"/>
          <w:sz w:val="24"/>
        </w:rPr>
        <w:t>甲方于送货前一天18点前将采购清单微信发给乙方，乙方于次日上午9点30分以前将采购清单列明的食品进行交付。如果甲方采购清单内的食品无法采购，可经甲方确认后进行更换。</w:t>
      </w:r>
    </w:p>
    <w:p>
      <w:pPr>
        <w:pStyle w:val="6610"/>
        <w:autoSpaceDN w:val="0"/>
        <w:spacing w:line="360" w:lineRule="auto"/>
        <w:ind w:firstLine="480"/>
        <w:rPr>
          <w:rFonts w:ascii="宋体"/>
          <w:sz w:val="24"/>
        </w:rPr>
      </w:pPr>
      <w:r>
        <w:rPr>
          <w:rFonts w:ascii="宋体" w:hint="eastAsia"/>
          <w:sz w:val="24"/>
        </w:rPr>
        <w:t>2.交货地点：顺义区李桥镇临空经济核心区中国电子口岸数据中心顺义办公区。</w:t>
      </w:r>
    </w:p>
    <w:p>
      <w:pPr>
        <w:pStyle w:val="5100"/>
        <w:autoSpaceDN w:val="0"/>
        <w:spacing w:line="360" w:lineRule="auto"/>
        <w:ind w:firstLine="480"/>
        <w:rPr>
          <w:rFonts w:ascii="宋体"/>
          <w:sz w:val="24"/>
        </w:rPr>
      </w:pPr>
      <w:r>
        <w:rPr>
          <w:rFonts w:ascii="宋体" w:hint="eastAsia"/>
          <w:sz w:val="24"/>
        </w:rPr>
        <w:t>3.运输要求</w:t>
      </w:r>
    </w:p>
    <w:p>
      <w:pPr>
        <w:pStyle w:val="5100"/>
        <w:autoSpaceDN w:val="0"/>
        <w:spacing w:line="360" w:lineRule="auto"/>
        <w:ind w:firstLine="480"/>
        <w:rPr>
          <w:rFonts w:ascii="宋体" w:hint="eastAsia"/>
          <w:sz w:val="24"/>
        </w:rPr>
      </w:pPr>
      <w:r>
        <w:rPr>
          <w:rFonts w:ascii="宋体" w:hint="eastAsia"/>
          <w:sz w:val="24"/>
        </w:rPr>
        <w:t>运输工具必须保持清洁、干燥、无异味，防止食品污染，具有确保食品安全所需的冷藏措施，冷冻制品必须使用符合规范标准的冷藏车进行运输，冷链运输必须符合相关防疫要求；严禁与有毒、有害、有异味、易污染的物品混装、混运；运输前必须进行食品的质量检查，在标签、批号和货物三者符合的情况下才能运输；运输包装必须牢固、整洁、防潮，并符合相关的包装规定；运输过程中装叠稳固、防雨、防潮、防暴晒；装卸时应轻装轻卸，防止碰撞。</w:t>
      </w:r>
    </w:p>
    <w:p>
      <w:pPr>
        <w:pStyle w:val="5100"/>
        <w:autoSpaceDN w:val="0"/>
        <w:spacing w:line="360" w:lineRule="auto"/>
        <w:ind w:firstLine="480"/>
        <w:rPr>
          <w:rFonts w:ascii="宋体" w:hint="eastAsia"/>
          <w:sz w:val="24"/>
        </w:rPr>
      </w:pPr>
      <w:r>
        <w:rPr>
          <w:rFonts w:ascii="宋体"/>
          <w:sz w:val="24"/>
        </w:rPr>
        <w:t>乙方</w:t>
      </w:r>
      <w:r>
        <w:rPr>
          <w:rFonts w:ascii="宋体" w:hint="eastAsia"/>
          <w:sz w:val="24"/>
        </w:rPr>
        <w:t>需具备应急采购、储备、运输等能力，及时响应。</w:t>
      </w:r>
      <w:r>
        <w:rPr>
          <w:rFonts w:ascii="宋体"/>
          <w:sz w:val="24"/>
        </w:rPr>
        <w:t>甲方</w:t>
      </w:r>
      <w:r>
        <w:rPr>
          <w:rFonts w:ascii="宋体" w:hint="eastAsia"/>
          <w:sz w:val="24"/>
        </w:rPr>
        <w:t>因特殊情况需加送食材时，</w:t>
      </w:r>
      <w:r>
        <w:rPr>
          <w:rFonts w:ascii="宋体"/>
          <w:sz w:val="24"/>
        </w:rPr>
        <w:t>乙方</w:t>
      </w:r>
      <w:r>
        <w:rPr>
          <w:rFonts w:ascii="宋体" w:hint="eastAsia"/>
          <w:sz w:val="24"/>
        </w:rPr>
        <w:t>须准时送达，不得推诿延误，保证送货时效性与安全性。</w:t>
      </w:r>
    </w:p>
    <w:p>
      <w:pPr>
        <w:pStyle w:val="5100"/>
        <w:autoSpaceDN w:val="0"/>
        <w:spacing w:line="360" w:lineRule="auto"/>
        <w:ind w:firstLine="480"/>
        <w:rPr>
          <w:rFonts w:ascii="宋体"/>
          <w:sz w:val="24"/>
        </w:rPr>
      </w:pPr>
      <w:r>
        <w:rPr>
          <w:rFonts w:ascii="宋体"/>
          <w:sz w:val="24"/>
        </w:rPr>
        <w:t>乙方</w:t>
      </w:r>
      <w:r>
        <w:rPr>
          <w:rFonts w:ascii="宋体" w:hint="eastAsia"/>
          <w:sz w:val="24"/>
        </w:rPr>
        <w:t>应详细计划安排配送工作，制定配送方案，防止误点错送。因不可抗力原因无法按时配送时，</w:t>
      </w:r>
      <w:r>
        <w:rPr>
          <w:rFonts w:ascii="宋体"/>
          <w:sz w:val="24"/>
        </w:rPr>
        <w:t>乙方</w:t>
      </w:r>
      <w:r>
        <w:rPr>
          <w:rFonts w:ascii="宋体" w:hint="eastAsia"/>
          <w:sz w:val="24"/>
        </w:rPr>
        <w:t>应有应急预案并及时启动，确保</w:t>
      </w:r>
      <w:r>
        <w:rPr>
          <w:rFonts w:ascii="宋体"/>
          <w:sz w:val="24"/>
        </w:rPr>
        <w:t>甲方</w:t>
      </w:r>
      <w:r>
        <w:rPr>
          <w:rFonts w:ascii="宋体" w:hint="eastAsia"/>
          <w:sz w:val="24"/>
        </w:rPr>
        <w:t>订购的食材能按时、按质、足量配送到位。</w:t>
      </w:r>
    </w:p>
    <w:p>
      <w:pPr>
        <w:pStyle w:val="5100"/>
        <w:autoSpaceDN w:val="0"/>
        <w:spacing w:line="360" w:lineRule="auto"/>
        <w:ind w:firstLine="480"/>
        <w:rPr>
          <w:rFonts w:ascii="宋体"/>
          <w:sz w:val="24"/>
        </w:rPr>
      </w:pPr>
      <w:r>
        <w:rPr>
          <w:rFonts w:ascii="宋体" w:hint="eastAsia"/>
          <w:sz w:val="24"/>
        </w:rPr>
        <w:t>4.风险责任承担：食品的风险责任和所有权在验收合格后由甲方承担和享有，此前的风险责任由乙方承担。</w:t>
      </w:r>
    </w:p>
    <w:p>
      <w:pPr>
        <w:pStyle w:val="5100"/>
        <w:autoSpaceDN w:val="0"/>
        <w:spacing w:line="360" w:lineRule="auto"/>
        <w:rPr>
          <w:rFonts w:ascii="宋体"/>
          <w:b/>
          <w:bCs/>
          <w:sz w:val="24"/>
        </w:rPr>
      </w:pPr>
      <w:r>
        <w:rPr>
          <w:rFonts w:ascii="宋体" w:hint="eastAsia"/>
          <w:b/>
          <w:bCs/>
          <w:sz w:val="24"/>
        </w:rPr>
        <w:t xml:space="preserve">    三、交货时间</w:t>
      </w:r>
    </w:p>
    <w:p>
      <w:pPr>
        <w:pStyle w:val="5100"/>
        <w:autoSpaceDN w:val="0"/>
        <w:spacing w:line="360" w:lineRule="auto"/>
        <w:ind w:firstLine="480"/>
        <w:rPr>
          <w:rFonts w:ascii="宋体"/>
          <w:sz w:val="24"/>
        </w:rPr>
      </w:pPr>
      <w:r>
        <w:rPr>
          <w:rFonts w:ascii="宋体" w:hint="eastAsia"/>
          <w:sz w:val="24"/>
        </w:rPr>
        <w:t>甲方于乙方送货前一天18点前将采购清单微信发送到乙方，乙方于每日上午9点30分以前将采购清单列明的食品进行交付。如果甲方采购清单内的食品无法采购，可经甲方确认后进行更换。</w:t>
      </w:r>
    </w:p>
    <w:p>
      <w:pPr>
        <w:pStyle w:val="5100"/>
        <w:autoSpaceDN w:val="0"/>
        <w:spacing w:line="360" w:lineRule="auto"/>
        <w:rPr>
          <w:rFonts w:ascii="宋体"/>
          <w:b/>
          <w:bCs/>
          <w:sz w:val="24"/>
        </w:rPr>
      </w:pPr>
      <w:r>
        <w:rPr>
          <w:rFonts w:ascii="宋体" w:hint="eastAsia"/>
          <w:b/>
          <w:bCs/>
          <w:sz w:val="24"/>
        </w:rPr>
        <w:t xml:space="preserve">    四、成本费用</w:t>
      </w:r>
    </w:p>
    <w:p>
      <w:pPr>
        <w:pStyle w:val="5100"/>
        <w:autoSpaceDN w:val="0"/>
        <w:spacing w:line="360" w:lineRule="auto"/>
        <w:ind w:firstLine="480"/>
        <w:rPr>
          <w:rFonts w:ascii="宋体"/>
          <w:sz w:val="24"/>
        </w:rPr>
      </w:pPr>
      <w:r>
        <w:rPr>
          <w:rFonts w:ascii="宋体" w:hint="eastAsia"/>
          <w:sz w:val="24"/>
        </w:rPr>
        <w:t>根据市场供求实际情况，乙方每两周可进行一次价格调整。周一乙方按照北京创价市场价格信息网公布的各类食材批发价的平均价为基准价，基准价×浮动比率（浮动比率=</w:t>
      </w:r>
      <w:r>
        <w:rPr>
          <w:rFonts w:ascii="宋体" w:hint="eastAsia"/>
          <w:sz w:val="24"/>
          <w:lang w:bidi="ar-SA"/>
        </w:rPr>
        <w:t>食材结算价格基数×（投标总价/预算金额）,食材结算价格基数为1.1</w:t>
      </w:r>
      <w:r>
        <w:rPr>
          <w:rFonts w:ascii="宋体" w:hint="eastAsia"/>
          <w:sz w:val="24"/>
        </w:rPr>
        <w:t>）为当期的供应价格，甲方确认价格后，周二开始执行此价格至下次报价当日止。</w:t>
      </w:r>
    </w:p>
    <w:p>
      <w:pPr>
        <w:pStyle w:val="192810"/>
        <w:autoSpaceDN w:val="0"/>
        <w:spacing w:line="360" w:lineRule="auto"/>
        <w:ind w:firstLine="480"/>
        <w:rPr>
          <w:rFonts w:ascii="宋体"/>
          <w:sz w:val="24"/>
        </w:rPr>
      </w:pPr>
      <w:r>
        <w:rPr>
          <w:rFonts w:ascii="宋体" w:hint="eastAsia"/>
          <w:sz w:val="24"/>
        </w:rPr>
        <w:t>北京创价市场价格信息网</w:t>
      </w:r>
      <w:r>
        <w:rPr>
          <w:rFonts w:ascii="宋体"/>
          <w:sz w:val="24"/>
        </w:rPr>
        <w:t>没有报价的食材</w:t>
      </w:r>
      <w:r>
        <w:rPr>
          <w:rFonts w:ascii="宋体" w:hint="eastAsia"/>
          <w:sz w:val="24"/>
        </w:rPr>
        <w:t>，采取市场询价后双方议价方式确认，议价商品最终定价不得高于当地市场零售价。</w:t>
      </w:r>
    </w:p>
    <w:p>
      <w:pPr>
        <w:pStyle w:val="5100"/>
        <w:autoSpaceDN w:val="0"/>
        <w:spacing w:line="360" w:lineRule="auto"/>
        <w:ind w:firstLine="480"/>
        <w:rPr>
          <w:rFonts w:ascii="宋体"/>
          <w:sz w:val="24"/>
        </w:rPr>
      </w:pPr>
      <w:r>
        <w:rPr>
          <w:rFonts w:ascii="宋体" w:hint="eastAsia"/>
          <w:sz w:val="24"/>
        </w:rPr>
        <w:t>食品、包装、运输、税款、食品的保险和储存、检测、验收、资料及提供的伴随服务等所有成本、费用及税费均由乙方承担。</w:t>
      </w:r>
    </w:p>
    <w:p>
      <w:pPr>
        <w:pStyle w:val="5100"/>
        <w:autoSpaceDN w:val="0"/>
        <w:spacing w:line="360" w:lineRule="auto"/>
        <w:rPr>
          <w:rFonts w:ascii="宋体"/>
          <w:b/>
          <w:bCs/>
          <w:sz w:val="24"/>
        </w:rPr>
      </w:pPr>
      <w:r>
        <w:rPr>
          <w:rFonts w:ascii="宋体" w:hint="eastAsia"/>
          <w:b/>
          <w:bCs/>
          <w:sz w:val="24"/>
        </w:rPr>
        <w:t xml:space="preserve">    五、付款条件</w:t>
      </w:r>
    </w:p>
    <w:p>
      <w:pPr>
        <w:pStyle w:val="5100"/>
        <w:autoSpaceDN w:val="0"/>
        <w:spacing w:line="360" w:lineRule="auto"/>
        <w:ind w:firstLine="480"/>
        <w:rPr>
          <w:rFonts w:ascii="宋体"/>
          <w:sz w:val="24"/>
        </w:rPr>
      </w:pPr>
      <w:r>
        <w:rPr>
          <w:rFonts w:ascii="宋体" w:hint="eastAsia"/>
          <w:sz w:val="24"/>
        </w:rPr>
        <w:t>1.本合同以人民币结算。</w:t>
      </w:r>
    </w:p>
    <w:p>
      <w:pPr>
        <w:pStyle w:val="5100"/>
        <w:autoSpaceDN w:val="0"/>
        <w:spacing w:line="360" w:lineRule="auto"/>
        <w:ind w:firstLine="480"/>
        <w:rPr>
          <w:rFonts w:ascii="宋体"/>
          <w:sz w:val="24"/>
        </w:rPr>
      </w:pPr>
      <w:r>
        <w:rPr>
          <w:rFonts w:ascii="宋体" w:hint="eastAsia"/>
          <w:sz w:val="24"/>
        </w:rPr>
        <w:t>2.付款办法：</w:t>
      </w:r>
    </w:p>
    <w:p>
      <w:pPr>
        <w:pStyle w:val="5100"/>
        <w:autoSpaceDN w:val="0"/>
        <w:spacing w:line="360" w:lineRule="auto"/>
        <w:ind w:firstLine="480"/>
        <w:rPr>
          <w:rFonts w:ascii="宋体" w:hint="eastAsia"/>
          <w:sz w:val="24"/>
        </w:rPr>
      </w:pPr>
      <w:r>
        <w:rPr>
          <w:rFonts w:ascii="宋体"/>
          <w:sz w:val="24"/>
        </w:rPr>
        <w:t>（1）</w:t>
      </w:r>
      <w:r>
        <w:rPr>
          <w:rFonts w:ascii="宋体" w:hint="eastAsia"/>
          <w:sz w:val="24"/>
        </w:rPr>
        <w:t>本月发生的费用，根据甲方向乙方下达的顺义食堂食材订货需求订单结合实际送货量（入库量）（经甲方验收合格后甲方统计数据为准）按月结算，每月结算一次。</w:t>
      </w:r>
    </w:p>
    <w:p>
      <w:pPr>
        <w:pStyle w:val="5100"/>
        <w:autoSpaceDN w:val="0"/>
        <w:spacing w:line="360" w:lineRule="auto"/>
        <w:ind w:firstLine="480"/>
        <w:rPr>
          <w:rFonts w:ascii="宋体"/>
          <w:sz w:val="24"/>
        </w:rPr>
      </w:pPr>
      <w:r>
        <w:rPr>
          <w:rFonts w:ascii="宋体"/>
          <w:sz w:val="24"/>
        </w:rPr>
        <w:t>（2）</w:t>
      </w:r>
      <w:r>
        <w:rPr>
          <w:rFonts w:ascii="宋体" w:hint="eastAsia"/>
          <w:sz w:val="24"/>
        </w:rPr>
        <w:t>结算方式：以一个自然月为结算周期，甲乙双方每月5日前核对上月送货明细及金额。核对无误后，凭阶段验收报告，甲方在收到乙方开具的合格增值税发票后7个工作日内办理款项支付。</w:t>
      </w:r>
    </w:p>
    <w:p>
      <w:pPr>
        <w:pStyle w:val="5100"/>
        <w:autoSpaceDN w:val="0"/>
        <w:spacing w:line="360" w:lineRule="auto"/>
        <w:ind w:firstLine="480"/>
        <w:rPr>
          <w:rFonts w:ascii="宋体"/>
          <w:sz w:val="24"/>
        </w:rPr>
      </w:pPr>
      <w:r>
        <w:rPr>
          <w:rFonts w:ascii="宋体" w:hint="eastAsia"/>
          <w:sz w:val="24"/>
        </w:rPr>
        <w:t>3.若出现财政资金不到位、集中支付延误等情况，乙方同意，甲方有权顺延期限支付。</w:t>
      </w:r>
    </w:p>
    <w:p>
      <w:pPr>
        <w:pStyle w:val="5100"/>
        <w:autoSpaceDN w:val="0"/>
        <w:spacing w:line="360" w:lineRule="auto"/>
        <w:ind w:firstLine="480"/>
        <w:rPr>
          <w:rFonts w:ascii="宋体"/>
          <w:sz w:val="24"/>
        </w:rPr>
      </w:pPr>
      <w:r>
        <w:rPr>
          <w:rFonts w:ascii="宋体" w:hint="eastAsia"/>
          <w:sz w:val="24"/>
        </w:rPr>
        <w:t>4.乙方账户信息</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94"/>
        <w:gridCol w:w="6460"/>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394" w:type="dxa"/>
            <w:tcBorders>
              <w:top w:val="single" w:sz="4" w:space="0" w:color="auto"/>
              <w:left w:val="single" w:sz="4" w:space="0" w:color="auto"/>
              <w:bottom w:val="single" w:sz="4" w:space="0" w:color="auto"/>
              <w:right w:val="single" w:sz="4" w:space="0" w:color="auto"/>
            </w:tcBorders>
            <w:noWrap/>
            <w:vAlign w:val="center"/>
          </w:tcPr>
          <w:p>
            <w:pPr>
              <w:pStyle w:val="5100"/>
              <w:autoSpaceDN w:val="0"/>
              <w:spacing w:line="360" w:lineRule="auto"/>
              <w:jc w:val="center"/>
              <w:rPr>
                <w:rFonts w:ascii="宋体"/>
                <w:sz w:val="24"/>
              </w:rPr>
            </w:pPr>
            <w:r>
              <w:rPr>
                <w:rFonts w:ascii="宋体" w:hint="eastAsia"/>
                <w:sz w:val="24"/>
              </w:rPr>
              <w:t>乙方</w:t>
            </w:r>
          </w:p>
        </w:tc>
        <w:tc>
          <w:tcPr>
            <w:tcW w:w="6460" w:type="dxa"/>
            <w:tcBorders>
              <w:top w:val="single" w:sz="4" w:space="0" w:color="auto"/>
              <w:left w:val="single" w:sz="4" w:space="0" w:color="auto"/>
              <w:bottom w:val="single" w:sz="4" w:space="0" w:color="auto"/>
              <w:right w:val="single" w:sz="4" w:space="0" w:color="auto"/>
            </w:tcBorders>
            <w:noWrap/>
            <w:vAlign w:val="center"/>
          </w:tcPr>
          <w:p>
            <w:pPr>
              <w:pStyle w:val="5100"/>
              <w:spacing w:line="300" w:lineRule="auto"/>
              <w:jc w:val="center"/>
              <w:rPr>
                <w:rFonts w:ascii="宋体" w:cs="Arial"/>
                <w:sz w:val="24"/>
              </w:rPr>
            </w:pPr>
          </w:p>
        </w:tc>
      </w:tr>
      <w:tr>
        <w:tblPrEx>
          <w:jc w:val="center"/>
          <w:tblLayout w:type="fixed"/>
          <w:tblCellMar>
            <w:top w:w="0" w:type="dxa"/>
            <w:left w:w="108" w:type="dxa"/>
            <w:bottom w:w="0" w:type="dxa"/>
            <w:right w:w="108" w:type="dxa"/>
          </w:tblCellMar>
        </w:tblPrEx>
        <w:trPr>
          <w:trHeight w:val="403"/>
          <w:jc w:val="center"/>
        </w:trPr>
        <w:tc>
          <w:tcPr>
            <w:tcW w:w="1394" w:type="dxa"/>
            <w:vAlign w:val="center"/>
          </w:tcPr>
          <w:p>
            <w:pPr>
              <w:pStyle w:val="5100"/>
              <w:autoSpaceDN w:val="0"/>
              <w:spacing w:line="360" w:lineRule="auto"/>
              <w:jc w:val="center"/>
              <w:rPr>
                <w:rFonts w:ascii="宋体"/>
                <w:sz w:val="24"/>
              </w:rPr>
            </w:pPr>
            <w:r>
              <w:rPr>
                <w:rFonts w:ascii="宋体" w:hint="eastAsia"/>
                <w:sz w:val="24"/>
              </w:rPr>
              <w:t>开户银行</w:t>
            </w:r>
          </w:p>
        </w:tc>
        <w:tc>
          <w:tcPr>
            <w:tcW w:w="6460" w:type="dxa"/>
            <w:vAlign w:val="center"/>
          </w:tcPr>
          <w:p>
            <w:pPr>
              <w:pStyle w:val="5100"/>
              <w:spacing w:line="300" w:lineRule="auto"/>
              <w:jc w:val="center"/>
              <w:rPr>
                <w:rFonts w:ascii="宋体" w:cs="Arial"/>
                <w:sz w:val="24"/>
              </w:rPr>
            </w:pPr>
          </w:p>
        </w:tc>
      </w:tr>
      <w:tr>
        <w:tblPrEx>
          <w:jc w:val="center"/>
          <w:tblLayout w:type="fixed"/>
          <w:tblCellMar>
            <w:top w:w="0" w:type="dxa"/>
            <w:left w:w="108" w:type="dxa"/>
            <w:bottom w:w="0" w:type="dxa"/>
            <w:right w:w="108" w:type="dxa"/>
          </w:tblCellMar>
        </w:tblPrEx>
        <w:trPr>
          <w:trHeight w:val="242"/>
          <w:jc w:val="center"/>
        </w:trPr>
        <w:tc>
          <w:tcPr>
            <w:tcW w:w="1394" w:type="dxa"/>
            <w:vAlign w:val="center"/>
          </w:tcPr>
          <w:p>
            <w:pPr>
              <w:pStyle w:val="5100"/>
              <w:autoSpaceDN w:val="0"/>
              <w:spacing w:line="360" w:lineRule="auto"/>
              <w:jc w:val="center"/>
              <w:rPr>
                <w:rFonts w:ascii="宋体"/>
                <w:sz w:val="24"/>
              </w:rPr>
            </w:pPr>
            <w:r>
              <w:rPr>
                <w:rFonts w:ascii="宋体" w:hint="eastAsia"/>
                <w:sz w:val="24"/>
              </w:rPr>
              <w:t>账号</w:t>
            </w:r>
          </w:p>
        </w:tc>
        <w:tc>
          <w:tcPr>
            <w:tcW w:w="6460" w:type="dxa"/>
            <w:vAlign w:val="center"/>
          </w:tcPr>
          <w:p>
            <w:pPr>
              <w:pStyle w:val="5100"/>
              <w:spacing w:line="300" w:lineRule="auto"/>
              <w:jc w:val="center"/>
              <w:rPr>
                <w:rFonts w:ascii="宋体" w:cs="Arial"/>
                <w:sz w:val="24"/>
              </w:rPr>
            </w:pPr>
          </w:p>
        </w:tc>
      </w:tr>
    </w:tbl>
    <w:p>
      <w:pPr>
        <w:pStyle w:val="5100"/>
        <w:autoSpaceDN w:val="0"/>
        <w:rPr>
          <w:rFonts w:ascii="宋体"/>
          <w:sz w:val="24"/>
        </w:rPr>
      </w:pPr>
    </w:p>
    <w:p>
      <w:pPr>
        <w:pStyle w:val="5100"/>
        <w:autoSpaceDN w:val="0"/>
        <w:spacing w:line="360" w:lineRule="auto"/>
        <w:ind w:firstLine="482"/>
        <w:rPr>
          <w:rFonts w:ascii="宋体"/>
          <w:sz w:val="24"/>
        </w:rPr>
      </w:pPr>
      <w:r>
        <w:rPr>
          <w:rFonts w:ascii="宋体" w:hint="eastAsia"/>
          <w:sz w:val="24"/>
        </w:rPr>
        <w:t>乙方保证其提供的账户信息真实、准确，乙方的账户信息发生变化的，应至少于甲方付款五个工作日前书面通知甲方，否则由此导致的错付、无法支付等所有法律后果均由乙方自行承担。</w:t>
      </w:r>
    </w:p>
    <w:p>
      <w:pPr>
        <w:pStyle w:val="5100"/>
        <w:autoSpaceDN w:val="0"/>
        <w:snapToGrid w:val="0"/>
        <w:spacing w:line="360" w:lineRule="auto"/>
        <w:rPr>
          <w:rFonts w:ascii="宋体"/>
          <w:b/>
          <w:bCs/>
          <w:sz w:val="24"/>
        </w:rPr>
      </w:pPr>
      <w:r>
        <w:rPr>
          <w:rFonts w:ascii="宋体" w:hint="eastAsia"/>
          <w:b/>
          <w:bCs/>
          <w:sz w:val="24"/>
        </w:rPr>
        <w:t xml:space="preserve">    六、质量保证</w:t>
      </w:r>
    </w:p>
    <w:p>
      <w:pPr>
        <w:pStyle w:val="5100"/>
        <w:autoSpaceDN w:val="0"/>
        <w:spacing w:line="360" w:lineRule="auto"/>
        <w:ind w:firstLine="480"/>
        <w:rPr>
          <w:rFonts w:ascii="宋体"/>
          <w:sz w:val="24"/>
        </w:rPr>
      </w:pPr>
      <w:r>
        <w:rPr>
          <w:rFonts w:ascii="宋体" w:hint="eastAsia"/>
          <w:sz w:val="24"/>
        </w:rPr>
        <w:t>1.调货要求</w:t>
      </w:r>
    </w:p>
    <w:p>
      <w:pPr>
        <w:pStyle w:val="5100"/>
        <w:autoSpaceDN w:val="0"/>
        <w:spacing w:line="360" w:lineRule="auto"/>
        <w:ind w:firstLine="482"/>
        <w:rPr>
          <w:rFonts w:ascii="宋体"/>
          <w:sz w:val="24"/>
        </w:rPr>
      </w:pPr>
      <w:r>
        <w:rPr>
          <w:rFonts w:ascii="宋体" w:hint="eastAsia"/>
          <w:sz w:val="24"/>
        </w:rPr>
        <w:t>采购或运输过程中如有特殊情况，乙方应15分钟之内通知甲方，并在就近网点及时采购，或由内部调配，或经甲方同意调整采购品种，不得影响甲方食堂正常营业。否则，因此造成的甲方损失（包括但不限于甲方为解决员工就餐，向第三方临时采购食材所支付的费用），应由乙方承担。</w:t>
      </w:r>
    </w:p>
    <w:p>
      <w:pPr>
        <w:pStyle w:val="5100"/>
        <w:autoSpaceDN w:val="0"/>
        <w:spacing w:line="360" w:lineRule="auto"/>
        <w:ind w:firstLine="480"/>
        <w:rPr>
          <w:rFonts w:ascii="宋体"/>
          <w:sz w:val="24"/>
        </w:rPr>
      </w:pPr>
      <w:r>
        <w:rPr>
          <w:rFonts w:ascii="宋体" w:hint="eastAsia"/>
          <w:sz w:val="24"/>
        </w:rPr>
        <w:t>2.退货要求</w:t>
      </w:r>
    </w:p>
    <w:p>
      <w:pPr>
        <w:pStyle w:val="5100"/>
        <w:autoSpaceDN w:val="0"/>
        <w:spacing w:line="360" w:lineRule="auto"/>
        <w:ind w:firstLine="482"/>
        <w:rPr>
          <w:rFonts w:ascii="宋体"/>
          <w:sz w:val="24"/>
        </w:rPr>
      </w:pPr>
      <w:r>
        <w:rPr>
          <w:rFonts w:ascii="宋体" w:hint="eastAsia"/>
          <w:sz w:val="24"/>
        </w:rPr>
        <w:t>乙方所供食品出现质量问题，须无条件予以退货。退货产生的相关费用、损失，由</w:t>
      </w:r>
      <w:r>
        <w:rPr>
          <w:rFonts w:ascii="宋体"/>
          <w:sz w:val="24"/>
        </w:rPr>
        <w:t>乙方</w:t>
      </w:r>
      <w:r>
        <w:rPr>
          <w:rFonts w:ascii="宋体" w:hint="eastAsia"/>
          <w:sz w:val="24"/>
        </w:rPr>
        <w:t>承担。若乙方拒不退货的，甲方有权解除采购合同。</w:t>
      </w:r>
    </w:p>
    <w:p>
      <w:pPr>
        <w:pStyle w:val="5100"/>
        <w:autoSpaceDN w:val="0"/>
        <w:spacing w:line="360" w:lineRule="auto"/>
        <w:ind w:firstLine="480"/>
        <w:rPr>
          <w:rFonts w:ascii="宋体"/>
          <w:sz w:val="24"/>
        </w:rPr>
      </w:pPr>
      <w:r>
        <w:rPr>
          <w:rFonts w:ascii="宋体" w:hint="eastAsia"/>
          <w:sz w:val="24"/>
        </w:rPr>
        <w:t>食品质量标准详见附件。</w:t>
      </w:r>
    </w:p>
    <w:p>
      <w:pPr>
        <w:pStyle w:val="5100"/>
        <w:autoSpaceDN w:val="0"/>
        <w:spacing w:line="360" w:lineRule="auto"/>
        <w:ind w:firstLine="480"/>
        <w:rPr>
          <w:rFonts w:ascii="宋体"/>
          <w:sz w:val="24"/>
        </w:rPr>
      </w:pPr>
      <w:r>
        <w:rPr>
          <w:rFonts w:ascii="宋体" w:hint="eastAsia"/>
          <w:b/>
          <w:bCs/>
          <w:sz w:val="24"/>
        </w:rPr>
        <w:t>七、验收</w:t>
      </w:r>
    </w:p>
    <w:p>
      <w:pPr>
        <w:pStyle w:val="5100"/>
        <w:autoSpaceDN w:val="0"/>
        <w:spacing w:line="360" w:lineRule="auto"/>
        <w:ind w:firstLine="480" w:firstLineChars="200"/>
        <w:rPr>
          <w:rFonts w:ascii="宋体"/>
          <w:sz w:val="24"/>
        </w:rPr>
      </w:pPr>
      <w:r>
        <w:rPr>
          <w:rFonts w:ascii="宋体" w:hint="eastAsia"/>
          <w:sz w:val="24"/>
        </w:rPr>
        <w:t>1.验收人员：由甲方和餐饮团队人员组成的验收小组。</w:t>
      </w:r>
    </w:p>
    <w:p>
      <w:pPr>
        <w:pStyle w:val="5100"/>
        <w:autoSpaceDN w:val="0"/>
        <w:spacing w:line="360" w:lineRule="auto"/>
        <w:ind w:firstLine="482"/>
        <w:rPr>
          <w:rFonts w:ascii="宋体"/>
          <w:sz w:val="24"/>
        </w:rPr>
      </w:pPr>
      <w:r>
        <w:rPr>
          <w:rFonts w:ascii="宋体" w:hint="eastAsia"/>
          <w:sz w:val="24"/>
        </w:rPr>
        <w:t>2.验收时间和地点</w:t>
      </w:r>
    </w:p>
    <w:p>
      <w:pPr>
        <w:pStyle w:val="5100"/>
        <w:autoSpaceDN w:val="0"/>
        <w:spacing w:line="360" w:lineRule="auto"/>
        <w:ind w:firstLine="480" w:firstLineChars="200"/>
        <w:rPr>
          <w:rFonts w:ascii="宋体"/>
          <w:sz w:val="24"/>
        </w:rPr>
      </w:pPr>
      <w:r>
        <w:rPr>
          <w:rFonts w:ascii="宋体" w:hint="eastAsia"/>
          <w:sz w:val="24"/>
        </w:rPr>
        <w:t>（1）验收时间：到货当天。</w:t>
      </w:r>
    </w:p>
    <w:p>
      <w:pPr>
        <w:pStyle w:val="5100"/>
        <w:autoSpaceDN w:val="0"/>
        <w:spacing w:line="360" w:lineRule="auto"/>
        <w:ind w:firstLine="480" w:firstLineChars="200"/>
        <w:rPr>
          <w:rFonts w:ascii="宋体"/>
          <w:sz w:val="24"/>
        </w:rPr>
      </w:pPr>
      <w:r>
        <w:rPr>
          <w:rFonts w:ascii="宋体" w:hint="eastAsia"/>
          <w:sz w:val="24"/>
        </w:rPr>
        <w:t>（2）验收地点：北京市李桥镇新城29号地中国电子口岸数据中心。</w:t>
      </w:r>
    </w:p>
    <w:p>
      <w:pPr>
        <w:pStyle w:val="5100"/>
        <w:autoSpaceDN w:val="0"/>
        <w:spacing w:line="360" w:lineRule="auto"/>
        <w:ind w:firstLine="482"/>
        <w:rPr>
          <w:rFonts w:ascii="宋体"/>
          <w:sz w:val="24"/>
        </w:rPr>
      </w:pPr>
      <w:r>
        <w:rPr>
          <w:rFonts w:ascii="宋体" w:hint="eastAsia"/>
          <w:sz w:val="24"/>
        </w:rPr>
        <w:t>3.验收组织形式：甲方组织验收。</w:t>
      </w:r>
    </w:p>
    <w:p>
      <w:pPr>
        <w:pStyle w:val="5100"/>
        <w:autoSpaceDN w:val="0"/>
        <w:spacing w:line="360" w:lineRule="auto"/>
        <w:ind w:firstLine="482"/>
        <w:rPr>
          <w:rFonts w:ascii="宋体"/>
          <w:sz w:val="24"/>
        </w:rPr>
      </w:pPr>
      <w:r>
        <w:rPr>
          <w:rFonts w:ascii="宋体" w:hint="eastAsia"/>
          <w:sz w:val="24"/>
        </w:rPr>
        <w:t>4.验收方式：现场验收。</w:t>
      </w:r>
    </w:p>
    <w:p>
      <w:pPr>
        <w:pStyle w:val="5100"/>
        <w:autoSpaceDN w:val="0"/>
        <w:spacing w:line="360" w:lineRule="auto"/>
        <w:ind w:firstLine="482"/>
        <w:rPr>
          <w:rFonts w:ascii="宋体"/>
          <w:sz w:val="24"/>
        </w:rPr>
      </w:pPr>
      <w:r>
        <w:rPr>
          <w:rFonts w:ascii="宋体" w:hint="eastAsia"/>
          <w:sz w:val="24"/>
        </w:rPr>
        <w:t>5.验收内容</w:t>
      </w:r>
    </w:p>
    <w:p>
      <w:pPr>
        <w:pStyle w:val="5100"/>
        <w:autoSpaceDN w:val="0"/>
        <w:spacing w:line="360" w:lineRule="auto"/>
        <w:ind w:firstLine="482"/>
        <w:rPr>
          <w:rFonts w:ascii="宋体"/>
          <w:sz w:val="24"/>
        </w:rPr>
      </w:pPr>
      <w:r>
        <w:rPr>
          <w:rFonts w:ascii="宋体" w:hint="eastAsia"/>
          <w:sz w:val="24"/>
        </w:rPr>
        <w:t>（1）质量是否符合约定标准；</w:t>
      </w:r>
    </w:p>
    <w:p>
      <w:pPr>
        <w:pStyle w:val="5100"/>
        <w:autoSpaceDN w:val="0"/>
        <w:spacing w:line="360" w:lineRule="auto"/>
        <w:ind w:firstLine="482"/>
        <w:rPr>
          <w:rFonts w:ascii="宋体"/>
          <w:sz w:val="24"/>
        </w:rPr>
      </w:pPr>
      <w:r>
        <w:rPr>
          <w:rFonts w:ascii="宋体" w:hint="eastAsia"/>
          <w:sz w:val="24"/>
        </w:rPr>
        <w:t>（2）重量、数量是否与甲方的预定量一致。</w:t>
      </w:r>
    </w:p>
    <w:p>
      <w:pPr>
        <w:pStyle w:val="5100"/>
        <w:autoSpaceDN w:val="0"/>
        <w:snapToGrid w:val="0"/>
        <w:spacing w:line="360" w:lineRule="auto"/>
        <w:rPr>
          <w:rFonts w:ascii="宋体"/>
          <w:b/>
          <w:bCs/>
          <w:sz w:val="24"/>
        </w:rPr>
      </w:pPr>
      <w:r>
        <w:rPr>
          <w:rFonts w:ascii="宋体" w:hint="eastAsia"/>
          <w:b/>
          <w:bCs/>
          <w:sz w:val="24"/>
        </w:rPr>
        <w:t xml:space="preserve">    八、甲方的违约责任</w:t>
      </w:r>
    </w:p>
    <w:p>
      <w:pPr>
        <w:pStyle w:val="5100"/>
        <w:autoSpaceDN w:val="0"/>
        <w:spacing w:line="360" w:lineRule="auto"/>
        <w:ind w:firstLine="480"/>
        <w:rPr>
          <w:rFonts w:ascii="宋体"/>
          <w:b/>
          <w:bCs/>
          <w:sz w:val="24"/>
        </w:rPr>
      </w:pPr>
      <w:r>
        <w:rPr>
          <w:rFonts w:ascii="宋体" w:hint="eastAsia"/>
          <w:sz w:val="24"/>
        </w:rPr>
        <w:t>甲方与乙方协商同意延期付款仍不能履行合同约定的付款义务时，每延误1天的赔偿费按迟付货款的百分之零点五 (0.5％)计收，最高不超过应付未付金额的5</w:t>
      </w:r>
      <w:r>
        <w:rPr>
          <w:rFonts w:ascii="宋体"/>
          <w:sz w:val="24"/>
        </w:rPr>
        <w:t>%</w:t>
      </w:r>
      <w:r>
        <w:rPr>
          <w:rFonts w:ascii="宋体" w:hint="eastAsia"/>
          <w:sz w:val="24"/>
        </w:rPr>
        <w:t>，因政府集中支付延误的时间除外。</w:t>
      </w:r>
    </w:p>
    <w:p>
      <w:pPr>
        <w:pStyle w:val="5100"/>
        <w:autoSpaceDN w:val="0"/>
        <w:snapToGrid w:val="0"/>
        <w:spacing w:line="360" w:lineRule="auto"/>
        <w:rPr>
          <w:rFonts w:ascii="宋体"/>
          <w:b/>
          <w:bCs/>
          <w:sz w:val="24"/>
        </w:rPr>
      </w:pPr>
      <w:r>
        <w:rPr>
          <w:rFonts w:ascii="宋体" w:hint="eastAsia"/>
          <w:b/>
          <w:bCs/>
          <w:sz w:val="24"/>
        </w:rPr>
        <w:t xml:space="preserve">    九、乙方违约责任 </w:t>
      </w:r>
    </w:p>
    <w:p>
      <w:pPr>
        <w:pStyle w:val="5100"/>
        <w:autoSpaceDN w:val="0"/>
        <w:snapToGrid w:val="0"/>
        <w:spacing w:line="360" w:lineRule="auto"/>
      </w:pPr>
      <w:r>
        <w:rPr>
          <w:rFonts w:ascii="宋体" w:hint="eastAsia"/>
          <w:sz w:val="24"/>
        </w:rPr>
        <w:t xml:space="preserve">    1.有下列情形之一的，属于乙方违约，甲方将按该结算周期应付金额的百分之五（5%）扣除乙方违约金：</w:t>
      </w:r>
    </w:p>
    <w:p>
      <w:pPr>
        <w:pStyle w:val="5100"/>
        <w:autoSpaceDN w:val="0"/>
        <w:spacing w:line="360" w:lineRule="auto"/>
        <w:ind w:firstLine="480"/>
        <w:rPr>
          <w:rFonts w:ascii="宋体" w:hint="eastAsia"/>
          <w:sz w:val="24"/>
        </w:rPr>
      </w:pPr>
      <w:r>
        <w:rPr>
          <w:rFonts w:ascii="宋体"/>
          <w:sz w:val="24"/>
        </w:rPr>
        <w:t>（1）</w:t>
      </w:r>
      <w:r>
        <w:rPr>
          <w:rFonts w:ascii="宋体" w:hint="eastAsia"/>
          <w:sz w:val="24"/>
        </w:rPr>
        <w:t>除不可抗力及甲方原因外，乙方延迟交付（包括因验收不合格导致延迟交付的情形）超过半小时；</w:t>
      </w:r>
    </w:p>
    <w:p>
      <w:pPr>
        <w:pStyle w:val="5100"/>
        <w:autoSpaceDN w:val="0"/>
        <w:spacing w:line="360" w:lineRule="auto"/>
        <w:ind w:firstLine="480"/>
        <w:rPr>
          <w:rFonts w:ascii="宋体"/>
          <w:sz w:val="24"/>
        </w:rPr>
      </w:pPr>
      <w:r>
        <w:rPr>
          <w:rFonts w:ascii="宋体"/>
          <w:sz w:val="24"/>
        </w:rPr>
        <w:t>（2）</w:t>
      </w:r>
      <w:r>
        <w:rPr>
          <w:rFonts w:ascii="宋体" w:hint="eastAsia"/>
          <w:sz w:val="24"/>
        </w:rPr>
        <w:t>乙方所供食品不符合本需求中“货物质量及服务标准”和“各类食材验收质量标准”的要求。</w:t>
      </w:r>
    </w:p>
    <w:p>
      <w:pPr>
        <w:pStyle w:val="5100"/>
        <w:autoSpaceDN w:val="0"/>
        <w:spacing w:line="360" w:lineRule="auto"/>
        <w:ind w:firstLine="480"/>
        <w:rPr>
          <w:rFonts w:ascii="宋体"/>
          <w:sz w:val="24"/>
        </w:rPr>
      </w:pPr>
      <w:r>
        <w:rPr>
          <w:rFonts w:ascii="宋体" w:hint="eastAsia"/>
          <w:sz w:val="24"/>
        </w:rPr>
        <w:t>2.有下列情形之一的，属于乙方严重违约，除扣除该结算周期应付金额的百分之三十（30%）外，甲方有权解除合同</w:t>
      </w:r>
      <w:r>
        <w:rPr>
          <w:rFonts w:ascii="宋体"/>
          <w:sz w:val="24"/>
        </w:rPr>
        <w:t>。</w:t>
      </w:r>
      <w:r>
        <w:rPr>
          <w:rFonts w:ascii="宋体" w:hint="eastAsia"/>
          <w:sz w:val="24"/>
        </w:rPr>
        <w:t>造成甲方经济损失或食品卫生事故的，由乙方承担全部经济损失和相关责任：</w:t>
      </w:r>
    </w:p>
    <w:p>
      <w:pPr>
        <w:pStyle w:val="5100"/>
        <w:autoSpaceDN w:val="0"/>
        <w:spacing w:line="360" w:lineRule="auto"/>
        <w:ind w:firstLine="480"/>
        <w:rPr>
          <w:rFonts w:ascii="宋体" w:hint="eastAsia"/>
          <w:sz w:val="24"/>
        </w:rPr>
      </w:pPr>
      <w:r>
        <w:rPr>
          <w:rFonts w:ascii="宋体"/>
          <w:sz w:val="24"/>
        </w:rPr>
        <w:t>（1）</w:t>
      </w:r>
      <w:r>
        <w:rPr>
          <w:rFonts w:ascii="宋体" w:hint="eastAsia"/>
          <w:sz w:val="24"/>
        </w:rPr>
        <w:t>除不可抗力及甲方原因外，乙方延迟交付（包括因验收不合格导致延迟交付的情形）超过半小时的次数大于2次（含2次）；</w:t>
      </w:r>
    </w:p>
    <w:p>
      <w:pPr>
        <w:pStyle w:val="5100"/>
        <w:autoSpaceDN w:val="0"/>
        <w:spacing w:line="360" w:lineRule="auto"/>
        <w:ind w:firstLine="480"/>
        <w:rPr>
          <w:rFonts w:ascii="宋体" w:hint="eastAsia"/>
          <w:sz w:val="24"/>
        </w:rPr>
      </w:pPr>
      <w:r>
        <w:rPr>
          <w:rFonts w:ascii="宋体"/>
          <w:sz w:val="24"/>
        </w:rPr>
        <w:t>（2）</w:t>
      </w:r>
      <w:r>
        <w:rPr>
          <w:rFonts w:ascii="宋体" w:hint="eastAsia"/>
          <w:sz w:val="24"/>
        </w:rPr>
        <w:t>乙方所供食品不符合本需求中“货物质量及服务标准”和“各类食材验收质量标准”的要求，且经退货补齐后仍不符合上述要求；</w:t>
      </w:r>
    </w:p>
    <w:p>
      <w:pPr>
        <w:pStyle w:val="5100"/>
        <w:autoSpaceDN w:val="0"/>
        <w:spacing w:line="360" w:lineRule="auto"/>
        <w:ind w:firstLine="480"/>
        <w:rPr>
          <w:rFonts w:ascii="宋体" w:hint="eastAsia"/>
          <w:sz w:val="24"/>
        </w:rPr>
      </w:pPr>
      <w:r>
        <w:rPr>
          <w:rFonts w:ascii="宋体"/>
          <w:sz w:val="24"/>
        </w:rPr>
        <w:t>（3）</w:t>
      </w:r>
      <w:r>
        <w:rPr>
          <w:rFonts w:ascii="宋体" w:hint="eastAsia"/>
          <w:sz w:val="24"/>
        </w:rPr>
        <w:t>乙方所供食品出现卫生问题，发生食物中毒或其他事故；</w:t>
      </w:r>
    </w:p>
    <w:p>
      <w:pPr>
        <w:pStyle w:val="5100"/>
        <w:autoSpaceDN w:val="0"/>
        <w:spacing w:line="360" w:lineRule="auto"/>
        <w:ind w:firstLine="480"/>
        <w:rPr>
          <w:rFonts w:ascii="宋体" w:hint="eastAsia"/>
          <w:sz w:val="24"/>
        </w:rPr>
      </w:pPr>
      <w:r>
        <w:rPr>
          <w:rFonts w:ascii="宋体"/>
          <w:sz w:val="24"/>
        </w:rPr>
        <w:t>（4）</w:t>
      </w:r>
      <w:r>
        <w:rPr>
          <w:rFonts w:ascii="宋体" w:hint="eastAsia"/>
          <w:sz w:val="24"/>
        </w:rPr>
        <w:t>乙方以书面、微信、短信等方式正式通知甲方不再供货，包括对部分食材不再供货；</w:t>
      </w:r>
    </w:p>
    <w:p>
      <w:pPr>
        <w:pStyle w:val="5100"/>
        <w:autoSpaceDN w:val="0"/>
        <w:spacing w:line="360" w:lineRule="auto"/>
        <w:ind w:firstLine="480"/>
        <w:rPr>
          <w:rFonts w:ascii="宋体" w:hint="eastAsia"/>
          <w:sz w:val="24"/>
        </w:rPr>
      </w:pPr>
      <w:r>
        <w:rPr>
          <w:rFonts w:ascii="宋体"/>
          <w:sz w:val="24"/>
        </w:rPr>
        <w:t>（5）</w:t>
      </w:r>
      <w:r>
        <w:rPr>
          <w:rFonts w:ascii="宋体" w:hint="eastAsia"/>
          <w:sz w:val="24"/>
        </w:rPr>
        <w:t>乙方虽未正式通知甲方不再供货，但1天没有供货，包括对部分食材没有供货；</w:t>
      </w:r>
    </w:p>
    <w:p>
      <w:pPr>
        <w:pStyle w:val="5100"/>
        <w:autoSpaceDN w:val="0"/>
        <w:spacing w:line="360" w:lineRule="auto"/>
        <w:ind w:firstLine="480"/>
        <w:rPr>
          <w:rFonts w:ascii="宋体"/>
          <w:sz w:val="24"/>
        </w:rPr>
      </w:pPr>
      <w:r>
        <w:rPr>
          <w:rFonts w:ascii="宋体"/>
          <w:sz w:val="24"/>
        </w:rPr>
        <w:t>（6）</w:t>
      </w:r>
      <w:r>
        <w:rPr>
          <w:rFonts w:ascii="宋体" w:hint="eastAsia"/>
          <w:sz w:val="24"/>
        </w:rPr>
        <w:t>乙方单方面要求提价的。</w:t>
      </w:r>
      <w:r>
        <w:rPr>
          <w:rFonts w:ascii="宋体" w:cs="Arial" w:hint="eastAsia"/>
          <w:sz w:val="24"/>
        </w:rPr>
        <w:t xml:space="preserve"> 3.因合同</w:t>
      </w:r>
      <w:r>
        <w:rPr>
          <w:rFonts w:ascii="宋体" w:hint="eastAsia"/>
          <w:sz w:val="24"/>
        </w:rPr>
        <w:t>一方原因致使另一方遭受第三方追诉的，违约方应赔偿由此给另一方造成的损失。</w:t>
      </w:r>
    </w:p>
    <w:p>
      <w:pPr>
        <w:pStyle w:val="5100"/>
        <w:autoSpaceDN w:val="0"/>
        <w:snapToGrid w:val="0"/>
        <w:spacing w:line="360" w:lineRule="auto"/>
        <w:rPr>
          <w:rFonts w:ascii="宋体"/>
          <w:b/>
          <w:bCs/>
          <w:sz w:val="24"/>
        </w:rPr>
      </w:pPr>
      <w:r>
        <w:rPr>
          <w:rFonts w:ascii="宋体" w:hint="eastAsia"/>
          <w:b/>
          <w:bCs/>
          <w:sz w:val="24"/>
        </w:rPr>
        <w:t xml:space="preserve">    十、使用合同文件和资料</w:t>
      </w:r>
    </w:p>
    <w:p>
      <w:pPr>
        <w:pStyle w:val="5100"/>
        <w:autoSpaceDN w:val="0"/>
        <w:spacing w:line="360" w:lineRule="auto"/>
        <w:ind w:firstLine="480"/>
        <w:rPr>
          <w:rFonts w:ascii="宋体"/>
          <w:sz w:val="24"/>
        </w:rPr>
      </w:pPr>
      <w:r>
        <w:rPr>
          <w:rFonts w:ascii="宋体" w:hint="eastAsia"/>
          <w:sz w:val="24"/>
        </w:rPr>
        <w:t>1.没有甲方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5100"/>
        <w:autoSpaceDN w:val="0"/>
        <w:spacing w:line="360" w:lineRule="auto"/>
        <w:ind w:firstLine="480"/>
        <w:rPr>
          <w:rFonts w:ascii="宋体"/>
          <w:sz w:val="24"/>
        </w:rPr>
      </w:pPr>
      <w:r>
        <w:rPr>
          <w:rFonts w:ascii="宋体" w:hint="eastAsia"/>
          <w:sz w:val="24"/>
        </w:rPr>
        <w:t>2.没有甲方事先书面同意，除了履行本合同之外，乙方不应使用、传播与本合同相关的任何文件、资料。</w:t>
      </w:r>
    </w:p>
    <w:p>
      <w:pPr>
        <w:pStyle w:val="5100"/>
        <w:autoSpaceDN w:val="0"/>
        <w:snapToGrid w:val="0"/>
        <w:spacing w:line="360" w:lineRule="auto"/>
        <w:rPr>
          <w:rFonts w:ascii="宋体"/>
          <w:b/>
          <w:bCs/>
          <w:sz w:val="24"/>
        </w:rPr>
      </w:pPr>
      <w:r>
        <w:rPr>
          <w:rFonts w:ascii="宋体" w:hint="eastAsia"/>
          <w:b/>
          <w:bCs/>
          <w:sz w:val="24"/>
        </w:rPr>
        <w:t xml:space="preserve">    十一、不可抗力及其免责</w:t>
      </w:r>
    </w:p>
    <w:p>
      <w:pPr>
        <w:pStyle w:val="5100"/>
        <w:autoSpaceDN w:val="0"/>
        <w:spacing w:line="360" w:lineRule="auto"/>
        <w:ind w:firstLine="480"/>
        <w:rPr>
          <w:rFonts w:ascii="宋体"/>
          <w:sz w:val="24"/>
        </w:rPr>
      </w:pPr>
      <w:r>
        <w:rPr>
          <w:rFonts w:ascii="宋体" w:hint="eastAsia"/>
          <w:sz w:val="24"/>
        </w:rPr>
        <w:t>1.如果乙方因不可抗力而导致合同实施延误或不能履行合同义务时，在不可抗力影响的范围内不应该被扣除违约金，也不应该承担误期赔偿或终止合同的责任。</w:t>
      </w:r>
    </w:p>
    <w:p>
      <w:pPr>
        <w:pStyle w:val="5100"/>
        <w:autoSpaceDN w:val="0"/>
        <w:spacing w:line="360" w:lineRule="auto"/>
        <w:ind w:firstLine="480"/>
        <w:rPr>
          <w:rFonts w:ascii="宋体"/>
          <w:sz w:val="24"/>
        </w:rPr>
      </w:pPr>
      <w:r>
        <w:rPr>
          <w:rFonts w:ascii="宋体" w:hint="eastAsia"/>
          <w:sz w:val="24"/>
        </w:rPr>
        <w:t>2.在不可抗力事件发生后，乙方应尽快以书面式将不可抗力的情况和原因通知甲方，除甲方书面另行要求外，乙方应尽实际可能继续履行合同义务，以及寻求采取合理的方案履行不受不可抗力影响的其他事项。如果不可抗力事件影响持续超过10天，双方应通过友好协商在合理的时间内就进一步履行合同达成协议。</w:t>
      </w:r>
    </w:p>
    <w:p>
      <w:pPr>
        <w:pStyle w:val="5100"/>
        <w:autoSpaceDN w:val="0"/>
        <w:spacing w:line="360" w:lineRule="auto"/>
        <w:ind w:firstLine="480"/>
        <w:rPr>
          <w:rFonts w:ascii="宋体"/>
          <w:sz w:val="24"/>
        </w:rPr>
      </w:pPr>
      <w:r>
        <w:rPr>
          <w:rFonts w:ascii="宋体" w:hint="eastAsia"/>
          <w:sz w:val="24"/>
        </w:rPr>
        <w:t>3.乙方在迟延履行合同期间由于不可抗力而不能履行合同的，不能被免除责任。</w:t>
      </w:r>
    </w:p>
    <w:p>
      <w:pPr>
        <w:pStyle w:val="5100"/>
        <w:autoSpaceDN w:val="0"/>
        <w:spacing w:line="360" w:lineRule="auto"/>
        <w:ind w:firstLine="480"/>
        <w:rPr>
          <w:rFonts w:ascii="宋体"/>
          <w:sz w:val="24"/>
        </w:rPr>
      </w:pPr>
      <w:r>
        <w:rPr>
          <w:rFonts w:ascii="宋体" w:hint="eastAsia"/>
          <w:sz w:val="24"/>
        </w:rPr>
        <w:t>4.甲方如遇不可抗力，应尽快以书面形式通知乙方，并尽实际可能履行不受不可抗力影响的其他事项。甲方不承担因不可抗力不能履行合同所造成的损失。</w:t>
      </w:r>
    </w:p>
    <w:p>
      <w:pPr>
        <w:pStyle w:val="5100"/>
        <w:autoSpaceDN w:val="0"/>
        <w:spacing w:line="360" w:lineRule="auto"/>
        <w:ind w:firstLine="480"/>
        <w:rPr>
          <w:rFonts w:ascii="宋体"/>
          <w:sz w:val="24"/>
        </w:rPr>
      </w:pPr>
      <w:r>
        <w:rPr>
          <w:rFonts w:ascii="宋体" w:hint="eastAsia"/>
          <w:sz w:val="24"/>
        </w:rPr>
        <w:t>5.本条所述的“不可抗力”指那些不能预见、不能避免并不能克服的客观情况，包括但不限于战争、动乱、严重火灾、洪水、台风、地震等及其他双方同意的情况，但不包括违约或疏忽。</w:t>
      </w:r>
    </w:p>
    <w:p>
      <w:pPr>
        <w:pStyle w:val="5100"/>
        <w:autoSpaceDN w:val="0"/>
        <w:snapToGrid w:val="0"/>
        <w:spacing w:line="360" w:lineRule="auto"/>
        <w:rPr>
          <w:rFonts w:ascii="宋体"/>
          <w:b/>
          <w:bCs/>
          <w:sz w:val="24"/>
        </w:rPr>
      </w:pPr>
      <w:r>
        <w:rPr>
          <w:rFonts w:ascii="宋体" w:hint="eastAsia"/>
          <w:b/>
          <w:bCs/>
          <w:sz w:val="24"/>
        </w:rPr>
        <w:t xml:space="preserve">    十二、争议的解决</w:t>
      </w:r>
    </w:p>
    <w:p>
      <w:pPr>
        <w:pStyle w:val="5100"/>
        <w:autoSpaceDN w:val="0"/>
        <w:spacing w:line="360" w:lineRule="auto"/>
        <w:ind w:firstLine="480"/>
        <w:rPr>
          <w:rFonts w:ascii="宋体"/>
          <w:sz w:val="24"/>
        </w:rPr>
      </w:pPr>
      <w:r>
        <w:rPr>
          <w:rFonts w:ascii="宋体" w:hint="eastAsia"/>
          <w:sz w:val="24"/>
        </w:rPr>
        <w:t>1.合同履行或与合同有关的一切争议应通过双方友好协商解决。如果友好协商还不能解决，争议应提交仲裁。</w:t>
      </w:r>
    </w:p>
    <w:p>
      <w:pPr>
        <w:pStyle w:val="5100"/>
        <w:autoSpaceDN w:val="0"/>
        <w:spacing w:line="360" w:lineRule="auto"/>
        <w:ind w:firstLine="480"/>
        <w:rPr>
          <w:rFonts w:ascii="宋体"/>
          <w:sz w:val="24"/>
        </w:rPr>
      </w:pPr>
      <w:r>
        <w:rPr>
          <w:rFonts w:ascii="宋体" w:hint="eastAsia"/>
          <w:sz w:val="24"/>
        </w:rPr>
        <w:t>2.仲裁应提交</w:t>
      </w:r>
      <w:r>
        <w:rPr>
          <w:rFonts w:ascii="宋体" w:hint="eastAsia"/>
          <w:sz w:val="24"/>
          <w:u w:val="single"/>
        </w:rPr>
        <w:t>北京仲裁委员会</w:t>
      </w:r>
      <w:r>
        <w:rPr>
          <w:rFonts w:ascii="宋体" w:hint="eastAsia"/>
          <w:sz w:val="24"/>
        </w:rPr>
        <w:t>进行，其仲裁裁决为最终裁决，对双方均有约束力。</w:t>
      </w:r>
    </w:p>
    <w:p>
      <w:pPr>
        <w:pStyle w:val="5100"/>
        <w:autoSpaceDN w:val="0"/>
        <w:spacing w:line="360" w:lineRule="auto"/>
        <w:ind w:firstLine="480"/>
        <w:rPr>
          <w:rFonts w:ascii="宋体"/>
          <w:sz w:val="24"/>
        </w:rPr>
      </w:pPr>
      <w:r>
        <w:rPr>
          <w:rFonts w:ascii="宋体" w:hint="eastAsia"/>
          <w:sz w:val="24"/>
        </w:rPr>
        <w:t>3.仲裁费除仲裁机关另有裁决外均应由败诉方负担。</w:t>
      </w:r>
    </w:p>
    <w:p>
      <w:pPr>
        <w:pStyle w:val="5100"/>
        <w:autoSpaceDN w:val="0"/>
        <w:spacing w:line="360" w:lineRule="auto"/>
        <w:ind w:firstLine="480"/>
        <w:rPr>
          <w:rFonts w:ascii="宋体"/>
          <w:sz w:val="24"/>
        </w:rPr>
      </w:pPr>
      <w:r>
        <w:rPr>
          <w:rFonts w:ascii="宋体" w:hint="eastAsia"/>
          <w:sz w:val="24"/>
        </w:rPr>
        <w:t>4.在仲裁期间，除正在进行仲裁的部分外，本合同其他部分应继续履行。</w:t>
      </w:r>
    </w:p>
    <w:p>
      <w:pPr>
        <w:pStyle w:val="5100"/>
        <w:widowControl/>
        <w:autoSpaceDN w:val="0"/>
        <w:snapToGrid w:val="0"/>
        <w:spacing w:line="360" w:lineRule="auto"/>
        <w:ind w:firstLine="420"/>
        <w:rPr>
          <w:rFonts w:ascii="宋体"/>
          <w:b/>
          <w:bCs/>
          <w:sz w:val="24"/>
        </w:rPr>
      </w:pPr>
      <w:r>
        <w:rPr>
          <w:rFonts w:ascii="宋体" w:hint="eastAsia"/>
          <w:b/>
          <w:bCs/>
          <w:sz w:val="24"/>
        </w:rPr>
        <w:t xml:space="preserve"> 十三、合同生效 </w:t>
      </w:r>
    </w:p>
    <w:p>
      <w:pPr>
        <w:pStyle w:val="5100"/>
        <w:widowControl/>
        <w:autoSpaceDN w:val="0"/>
        <w:snapToGrid w:val="0"/>
        <w:spacing w:line="360" w:lineRule="auto"/>
        <w:ind w:firstLine="420"/>
        <w:rPr>
          <w:rFonts w:ascii="宋体"/>
          <w:sz w:val="24"/>
        </w:rPr>
      </w:pPr>
      <w:r>
        <w:rPr>
          <w:rFonts w:ascii="宋体" w:hint="eastAsia"/>
          <w:sz w:val="24"/>
        </w:rPr>
        <w:t>本合同一式</w:t>
      </w:r>
      <w:r>
        <w:rPr>
          <w:rFonts w:ascii="宋体" w:hint="eastAsia"/>
          <w:sz w:val="24"/>
          <w:u w:val="single"/>
        </w:rPr>
        <w:t>肆</w:t>
      </w:r>
      <w:r>
        <w:rPr>
          <w:rFonts w:ascii="宋体" w:hint="eastAsia"/>
          <w:sz w:val="24"/>
        </w:rPr>
        <w:t>份，甲乙双方各执</w:t>
      </w:r>
      <w:r>
        <w:rPr>
          <w:rFonts w:ascii="宋体" w:hint="eastAsia"/>
          <w:sz w:val="24"/>
          <w:u w:val="single"/>
        </w:rPr>
        <w:t>贰</w:t>
      </w:r>
      <w:r>
        <w:rPr>
          <w:rFonts w:ascii="宋体" w:hint="eastAsia"/>
          <w:sz w:val="24"/>
        </w:rPr>
        <w:t>份，自甲乙双方法定代表人或授权代表签字并加盖公章或合同专用章之日起生效。附件为本合同不可分割的一部分，与本合同具有同等法律效力。对本合同的任何更改及补充，均需双方共同协商，并以书面形式加盖公章或合同专用章确认。</w:t>
      </w:r>
    </w:p>
    <w:p>
      <w:pPr>
        <w:pStyle w:val="CommentText"/>
        <w:rPr>
          <w:lang w:eastAsia="zh-CN"/>
        </w:rPr>
      </w:pPr>
    </w:p>
    <w:p>
      <w:pPr>
        <w:pStyle w:val="CommentText"/>
        <w:ind w:firstLine="480" w:firstLineChars="200"/>
        <w:rPr>
          <w:rFonts w:ascii="宋体"/>
          <w:sz w:val="24"/>
        </w:rPr>
      </w:pPr>
      <w:r>
        <w:rPr>
          <w:rFonts w:ascii="宋体" w:hint="eastAsia"/>
          <w:sz w:val="24"/>
        </w:rPr>
        <w:t>本合同包含附件</w:t>
      </w:r>
      <w:r>
        <w:rPr>
          <w:rFonts w:ascii="宋体" w:hint="eastAsia"/>
          <w:sz w:val="24"/>
          <w:u w:val="single"/>
        </w:rPr>
        <w:t xml:space="preserve"> </w:t>
      </w:r>
      <w:r>
        <w:rPr>
          <w:rFonts w:ascii="宋体"/>
          <w:sz w:val="24"/>
          <w:u w:val="single"/>
        </w:rPr>
        <w:t>1</w:t>
      </w:r>
      <w:r>
        <w:rPr>
          <w:rFonts w:ascii="宋体" w:hint="eastAsia"/>
          <w:sz w:val="24"/>
        </w:rPr>
        <w:t>份。</w:t>
      </w:r>
    </w:p>
    <w:p>
      <w:pPr>
        <w:pStyle w:val="5100"/>
        <w:widowControl/>
        <w:autoSpaceDN w:val="0"/>
        <w:snapToGrid w:val="0"/>
        <w:spacing w:line="360" w:lineRule="auto"/>
        <w:ind w:firstLine="479"/>
        <w:rPr>
          <w:rFonts w:ascii="宋体"/>
          <w:sz w:val="24"/>
        </w:rPr>
      </w:pPr>
      <w:r>
        <w:rPr>
          <w:rFonts w:ascii="宋体" w:hint="eastAsia"/>
          <w:sz w:val="24"/>
        </w:rPr>
        <w:t>附件：</w:t>
      </w:r>
      <w:r>
        <w:rPr>
          <w:rFonts w:ascii="宋体"/>
          <w:sz w:val="24"/>
        </w:rPr>
        <w:t>采购需求</w:t>
      </w:r>
      <w:r>
        <w:rPr>
          <w:rFonts w:ascii="宋体" w:hint="eastAsia"/>
          <w:sz w:val="24"/>
        </w:rPr>
        <w:t xml:space="preserve"> </w:t>
      </w:r>
    </w:p>
    <w:p>
      <w:pPr>
        <w:pStyle w:val="5100"/>
        <w:widowControl/>
        <w:autoSpaceDN w:val="0"/>
        <w:snapToGrid w:val="0"/>
        <w:spacing w:line="360" w:lineRule="auto"/>
        <w:ind w:firstLine="479"/>
        <w:rPr>
          <w:rFonts w:ascii="宋体"/>
          <w:sz w:val="24"/>
        </w:rPr>
      </w:pPr>
    </w:p>
    <w:p>
      <w:pPr>
        <w:pStyle w:val="5100"/>
        <w:widowControl/>
        <w:autoSpaceDN w:val="0"/>
        <w:snapToGrid w:val="0"/>
        <w:spacing w:line="360" w:lineRule="auto"/>
        <w:ind w:firstLine="479"/>
        <w:rPr>
          <w:rFonts w:ascii="宋体"/>
          <w:sz w:val="24"/>
        </w:rPr>
      </w:pPr>
    </w:p>
    <w:p>
      <w:pPr>
        <w:pStyle w:val="5100"/>
        <w:widowControl/>
        <w:autoSpaceDN w:val="0"/>
        <w:snapToGrid w:val="0"/>
        <w:spacing w:line="360" w:lineRule="auto"/>
        <w:ind w:firstLine="479"/>
        <w:rPr>
          <w:rFonts w:ascii="宋体"/>
          <w:sz w:val="24"/>
        </w:rPr>
      </w:pPr>
    </w:p>
    <w:p>
      <w:pPr>
        <w:pStyle w:val="5100"/>
        <w:widowControl/>
        <w:autoSpaceDN w:val="0"/>
        <w:snapToGrid w:val="0"/>
        <w:spacing w:line="360" w:lineRule="auto"/>
        <w:ind w:firstLine="479"/>
        <w:rPr>
          <w:rFonts w:ascii="宋体"/>
          <w:sz w:val="24"/>
        </w:rPr>
      </w:pPr>
    </w:p>
    <w:p>
      <w:pPr>
        <w:pStyle w:val="5100"/>
        <w:widowControl/>
        <w:autoSpaceDN w:val="0"/>
        <w:snapToGrid w:val="0"/>
        <w:spacing w:line="360" w:lineRule="auto"/>
        <w:ind w:firstLine="479"/>
        <w:rPr>
          <w:rFonts w:ascii="宋体"/>
          <w:sz w:val="24"/>
        </w:rPr>
      </w:pPr>
    </w:p>
    <w:p>
      <w:pPr>
        <w:pStyle w:val="5100"/>
        <w:widowControl/>
        <w:autoSpaceDN w:val="0"/>
        <w:snapToGrid w:val="0"/>
        <w:spacing w:line="360" w:lineRule="auto"/>
        <w:rPr>
          <w:rFonts w:ascii="宋体" w:cs="Arial"/>
          <w:sz w:val="24"/>
        </w:rPr>
      </w:pPr>
      <w:r>
        <w:rPr>
          <w:rFonts w:ascii="宋体" w:cs="Arial" w:hint="eastAsia"/>
          <w:sz w:val="24"/>
        </w:rPr>
        <w:t>甲方（盖章）：                            乙方（盖章）：</w:t>
      </w:r>
    </w:p>
    <w:p>
      <w:pPr>
        <w:pStyle w:val="5100"/>
        <w:widowControl/>
        <w:autoSpaceDN w:val="0"/>
        <w:snapToGrid w:val="0"/>
        <w:spacing w:line="360" w:lineRule="auto"/>
        <w:rPr>
          <w:rFonts w:ascii="宋体" w:cs="Arial"/>
          <w:sz w:val="24"/>
        </w:rPr>
      </w:pPr>
      <w:r>
        <w:rPr>
          <w:rFonts w:ascii="宋体" w:cs="Arial" w:hint="eastAsia"/>
          <w:sz w:val="24"/>
        </w:rPr>
        <w:t>法定代表人                               法定代表人</w:t>
      </w:r>
    </w:p>
    <w:p>
      <w:pPr>
        <w:pStyle w:val="5100"/>
        <w:widowControl/>
        <w:autoSpaceDN w:val="0"/>
        <w:snapToGrid w:val="0"/>
        <w:spacing w:line="360" w:lineRule="auto"/>
        <w:rPr>
          <w:rFonts w:ascii="宋体" w:cs="Arial"/>
          <w:sz w:val="24"/>
        </w:rPr>
      </w:pPr>
      <w:r>
        <w:rPr>
          <w:rFonts w:ascii="宋体" w:cs="Arial" w:hint="eastAsia"/>
          <w:sz w:val="24"/>
        </w:rPr>
        <w:t>或授权代表（签字）：                      或授权代表（签字）：</w:t>
      </w:r>
    </w:p>
    <w:p>
      <w:pPr>
        <w:spacing w:line="400" w:lineRule="exact"/>
        <w:rPr>
          <w:rFonts w:ascii="宋体" w:cs="Arial"/>
        </w:rPr>
      </w:pPr>
      <w:r>
        <w:rPr>
          <w:rFonts w:ascii="宋体" w:cs="Arial" w:hint="eastAsia"/>
          <w:sz w:val="24"/>
        </w:rPr>
        <w:t>日期：    年    月    日                 日期：    年     月     日</w:t>
      </w:r>
    </w:p>
    <w:p>
      <w:pPr>
        <w:rPr>
          <w:color w:val="0000FF"/>
          <w:sz w:val="28"/>
          <w:szCs w:val="36"/>
          <w:highlight w:val="white"/>
        </w:rPr>
      </w:pPr>
      <w:bookmarkEnd w:id="49"/>
    </w:p>
    <w:p>
      <w:pPr>
        <w:jc w:val="center"/>
        <w:rPr>
          <w:rFonts w:eastAsia="方正小标宋_GBK"/>
          <w:color w:val="0000FF"/>
          <w:sz w:val="44"/>
        </w:rPr>
      </w:pPr>
      <w:bookmarkEnd w:id="48"/>
    </w:p>
    <w:p/>
    <w:p/>
    <w:p/>
    <w:p/>
    <w:p/>
    <w:p>
      <w:pPr>
        <w:pStyle w:val="Heading1"/>
        <w:rPr>
          <w:rFonts w:hint="eastAsia"/>
          <w:highlight w:val="white"/>
        </w:rPr>
      </w:pPr>
      <w:r>
        <w:rPr>
          <w:rFonts w:hint="eastAsia"/>
          <w:highlight w:val="white"/>
        </w:rPr>
        <w:br w:type="page"/>
      </w:r>
      <w:bookmarkStart w:id="50" w:name="_Toc47661360"/>
      <w:r>
        <w:rPr>
          <w:rFonts w:hint="eastAsia"/>
          <w:highlight w:val="white"/>
        </w:rPr>
        <w:t>第六部分  投标文件格式</w:t>
      </w:r>
      <w:bookmarkEnd w:id="50"/>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1"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2" w:name="_Ref462505451"/>
      <w:bookmarkStart w:id="53"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2"/>
      <w:bookmarkEnd w:id="53"/>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pStyle w:val="195110"/>
        <w:spacing w:line="360" w:lineRule="auto"/>
        <w:rPr>
          <w:rFonts w:ascii="宋体" w:hint="eastAsia"/>
          <w:sz w:val="22"/>
        </w:rPr>
      </w:pPr>
      <w:r>
        <w:rPr>
          <w:rFonts w:ascii="宋体"/>
          <w:color w:val="FF0000"/>
          <w:sz w:val="24"/>
        </w:rPr>
        <w:t>注：只填写</w:t>
      </w:r>
      <w:r>
        <w:rPr>
          <w:rFonts w:ascii="宋体" w:hint="eastAsia"/>
          <w:color w:val="FF0000"/>
          <w:sz w:val="24"/>
        </w:rPr>
        <w:t>“</w:t>
      </w:r>
      <w:r>
        <w:rPr>
          <w:rFonts w:ascii="宋体"/>
          <w:color w:val="FF0000"/>
          <w:sz w:val="24"/>
        </w:rPr>
        <w:t>项目名称、招标编号、包号、投标人名称、投标总价、中小企业情况</w:t>
      </w:r>
      <w:r>
        <w:rPr>
          <w:rFonts w:ascii="宋体" w:hint="eastAsia"/>
          <w:color w:val="FF0000"/>
          <w:sz w:val="24"/>
        </w:rPr>
        <w:t>”</w:t>
      </w:r>
      <w:r>
        <w:rPr>
          <w:rFonts w:ascii="宋体"/>
          <w:color w:val="FF0000"/>
          <w:sz w:val="24"/>
        </w:rPr>
        <w:t>，其他内容可不填写。</w:t>
      </w: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4" w:name="_Toc499068169"/>
      <w:bookmarkStart w:id="55" w:name="_Toc46196323"/>
      <w:bookmarkStart w:id="56" w:name="_Toc485990833"/>
      <w:r>
        <w:rPr>
          <w:rFonts w:ascii="宋体" w:eastAsia="宋体" w:hint="eastAsia"/>
          <w:szCs w:val="32"/>
          <w:lang w:eastAsia="zh-CN"/>
        </w:rPr>
        <w:t>投标函</w:t>
      </w:r>
      <w:bookmarkEnd w:id="54"/>
      <w:bookmarkEnd w:id="55"/>
      <w:bookmarkEnd w:id="56"/>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
      <w:bookmarkStart w:id="58" w:name="_Toc485990851"/>
      <w:r>
        <w:rPr>
          <w:rFonts w:ascii="宋体" w:eastAsia="宋体" w:hint="eastAsia"/>
          <w:szCs w:val="32"/>
          <w:lang w:eastAsia="zh-CN"/>
        </w:rPr>
        <w:t>技术偏离表</w:t>
      </w:r>
      <w:bookmarkEnd w:id="57"/>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8"/>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项目团队人员的从业人员资格证书以及上述员工距开标之日X个月任意1个月的缴纳社保证明（未提供的不予认定）；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1"/>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altName w:val="方正黑体_GBK"/>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宋体"/>
    <w:panose1 w:val="02010600030101010101"/>
    <w:charset w:val="86"/>
    <w:family w:val="auto"/>
    <w:pitch w:val="variable"/>
    <w:sig w:usb0="A00002BF" w:usb1="38CF7CFA" w:usb2="00000016" w:usb3="00000000" w:csb0="0004000F" w:csb1="00000000"/>
  </w:font>
  <w:font w:name="微软雅黑">
    <w:altName w:val="华文细黑"/>
    <w:panose1 w:val="020B0503020204020204"/>
    <w:charset w:val="86"/>
    <w:family w:val="swiss"/>
    <w:pitch w:val="variable"/>
    <w:sig w:usb0="80000287" w:usb1="280F3C52" w:usb2="00000016" w:usb3="00000000" w:csb0="0004001F"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Times">
    <w:altName w:val="DejaVu Sans"/>
    <w:panose1 w:val="02020603050405020304"/>
    <w:charset w:val="00"/>
    <w:family w:val="roman"/>
    <w:pitch w:val="variable"/>
    <w:sig w:usb0="E0003AFF" w:usb1="C0007841" w:usb2="00000009" w:usb3="00000000" w:csb0="000001FF" w:csb1="00000000"/>
  </w:font>
  <w:font w:name="方正小标宋_GBK">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script"/>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swiss"/>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swiss"/>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宋体"/>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swiss"/>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533018" cy="401288"/>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01288"/>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1.6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4">
    <w:abstractNumId w:val="20"/>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5">
    <w:abstractNumId w:val="19"/>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6">
    <w:abstractNumId w:val="14"/>
    <w:lvlOverride w:ilvl="0">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lvl w:ilvl="0">
        <w:start w:val="1"/>
        <w:numFmt w:val="decimal"/>
        <w:lvlText w:val="%1."/>
        <w:lvlJc w:val="left"/>
        <w:pPr>
          <w:tabs>
            <w:tab w:val="num" w:pos="1200"/>
          </w:tabs>
          <w:ind w:left="1200" w:hanging="360"/>
        </w:pPr>
      </w:lvl>
    </w:lvlOverride>
  </w:num>
  <w:num w:numId="8">
    <w:abstractNumId w:val="12"/>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9">
    <w:abstractNumId w:val="2"/>
  </w:num>
  <w:num w:numId="10">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6">
    <w:abstractNumId w:val="16"/>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1">
    <w:abstractNumId w:val="18"/>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22">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125">
    <w:name w:val="纯文本125"/>
    <w:pPr>
      <w:widowControl w:val="0"/>
      <w:jc w:val="both"/>
    </w:pPr>
    <w:rPr>
      <w:rFonts w:ascii="宋体" w:eastAsia="宋体" w:hAnsi="Times New Roman" w:cs="Courier New"/>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zh-CN"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750">
    <w:name w:val="正文750"/>
    <w:pPr>
      <w:widowControl w:val="0"/>
      <w:jc w:val="both"/>
    </w:pPr>
    <w:rPr>
      <w:rFonts w:ascii="Calibri" w:eastAsia="宋体" w:hAnsi="Calibri"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22">
    <w:name w:val="正文22"/>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zh-CN"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eastAsia="zh-CN" w:bidi="ar-SA"/>
    </w:rPr>
  </w:style>
  <w:style w:type="paragraph" w:customStyle="1" w:styleId="911">
    <w:name w:val="正文911"/>
    <w:pPr>
      <w:widowControl w:val="0"/>
      <w:jc w:val="both"/>
    </w:pPr>
    <w:rPr>
      <w:rFonts w:ascii="Calibri" w:eastAsia="宋体" w:hAnsi="Calibri" w:cs="Times New Roman"/>
      <w:kern w:val="2"/>
      <w:sz w:val="21"/>
      <w:szCs w:val="24"/>
      <w:lang w:val="en-US" w:eastAsia="zh-CN"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eastAsia="zh-CN" w:bidi="ar-SA"/>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401">
    <w:name w:val="正文401"/>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zh-CN" w:bidi="ar-SA"/>
    </w:rPr>
  </w:style>
  <w:style w:type="paragraph" w:customStyle="1" w:styleId="492">
    <w:name w:val="正文492"/>
    <w:pPr>
      <w:widowControl w:val="0"/>
      <w:jc w:val="both"/>
    </w:pPr>
    <w:rPr>
      <w:rFonts w:ascii="Calibri" w:eastAsia="宋体" w:hAnsi="Calibri"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468">
    <w:name w:val="正文468"/>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zh-CN"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24">
    <w:name w:val="修订2"/>
    <w:next w:val="TOC7"/>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zh-CN"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zh-CN"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1110">
    <w:name w:val="正文1110"/>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
    <w:name w:val="纯文本16"/>
    <w:pPr>
      <w:widowControl w:val="0"/>
      <w:jc w:val="both"/>
    </w:pPr>
    <w:rPr>
      <w:rFonts w:ascii="宋体" w:eastAsia="宋体" w:hAnsi="Times New Roman" w:cs="Courier New"/>
      <w:kern w:val="2"/>
      <w:sz w:val="21"/>
      <w:szCs w:val="21"/>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270">
    <w:name w:val="正文270"/>
    <w:pPr>
      <w:widowControl w:val="0"/>
      <w:jc w:val="both"/>
    </w:pPr>
    <w:rPr>
      <w:rFonts w:ascii="Calibri" w:eastAsia="宋体" w:hAnsi="Calibri" w:cs="Times New Roman"/>
      <w:kern w:val="2"/>
      <w:sz w:val="21"/>
      <w:szCs w:val="24"/>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12">
    <w:name w:val="正文112"/>
    <w:pPr>
      <w:widowControl w:val="0"/>
      <w:jc w:val="both"/>
    </w:pPr>
    <w:rPr>
      <w:rFonts w:ascii="Calibri" w:eastAsia="宋体" w:hAnsi="Calibri" w:cs="Times New Roman"/>
      <w:kern w:val="2"/>
      <w:sz w:val="21"/>
      <w:szCs w:val="24"/>
      <w:lang w:val="en-US" w:eastAsia="zh-CN" w:bidi="ar-SA"/>
    </w:rPr>
  </w:style>
  <w:style w:type="paragraph" w:customStyle="1" w:styleId="606">
    <w:name w:val="正文606"/>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zh-CN" w:bidi="ar-SA"/>
    </w:rPr>
  </w:style>
  <w:style w:type="paragraph" w:customStyle="1" w:styleId="29">
    <w:name w:val="正文29"/>
    <w:pPr>
      <w:widowControl w:val="0"/>
      <w:jc w:val="both"/>
    </w:pPr>
    <w:rPr>
      <w:rFonts w:ascii="Calibri" w:eastAsia="宋体" w:hAnsi="Calibri" w:cs="Times New Roman"/>
      <w:kern w:val="2"/>
      <w:sz w:val="21"/>
      <w:szCs w:val="22"/>
      <w:lang w:val="en-US" w:eastAsia="zh-CN"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6">
    <w:name w:val="正文6"/>
    <w:pPr>
      <w:widowControl w:val="0"/>
      <w:jc w:val="both"/>
    </w:pPr>
    <w:rPr>
      <w:rFonts w:ascii="Calibri" w:eastAsia="宋体" w:hAnsi="Calibri"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25">
    <w:name w:val="正文225"/>
    <w:pPr>
      <w:widowControl w:val="0"/>
      <w:jc w:val="both"/>
    </w:pPr>
    <w:rPr>
      <w:rFonts w:ascii="Calibri" w:eastAsia="宋体" w:hAnsi="Calibri"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521">
    <w:name w:val="正文521"/>
    <w:pPr>
      <w:widowControl w:val="0"/>
      <w:jc w:val="both"/>
    </w:pPr>
    <w:rPr>
      <w:rFonts w:ascii="Calibri" w:eastAsia="宋体" w:hAnsi="Calibri" w:cs="Times New Roman"/>
      <w:kern w:val="2"/>
      <w:sz w:val="21"/>
      <w:szCs w:val="24"/>
      <w:lang w:val="en-US" w:eastAsia="zh-CN"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eastAsia="zh-CN"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zh-CN" w:bidi="ar-SA"/>
    </w:rPr>
  </w:style>
  <w:style w:type="paragraph" w:customStyle="1" w:styleId="159">
    <w:name w:val="正文159"/>
    <w:pPr>
      <w:widowControl w:val="0"/>
      <w:jc w:val="both"/>
    </w:pPr>
    <w:rPr>
      <w:rFonts w:ascii="Calibri" w:eastAsia="宋体" w:hAnsi="Calibri"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014">
    <w:name w:val="正文1014"/>
    <w:rPr>
      <w:rFonts w:ascii="Calibri" w:eastAsia="宋体" w:hAnsi="Calibri" w:cs="Times New Roman"/>
      <w:kern w:val="2"/>
      <w:sz w:val="21"/>
      <w:szCs w:val="21"/>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910">
    <w:name w:val="纯文本91"/>
    <w:pPr>
      <w:widowControl w:val="0"/>
      <w:jc w:val="both"/>
    </w:pPr>
    <w:rPr>
      <w:rFonts w:ascii="宋体" w:eastAsia="宋体" w:hAnsi="Times New Roman" w:cs="Courier New"/>
      <w:kern w:val="2"/>
      <w:sz w:val="21"/>
      <w:szCs w:val="21"/>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eastAsia="zh-CN" w:bidi="ar-SA"/>
    </w:rPr>
  </w:style>
  <w:style w:type="paragraph" w:customStyle="1" w:styleId="740">
    <w:name w:val="纯文本74"/>
    <w:pPr>
      <w:widowControl w:val="0"/>
      <w:jc w:val="both"/>
    </w:pPr>
    <w:rPr>
      <w:rFonts w:ascii="宋体" w:eastAsia="宋体" w:hAnsi="Times New Roman" w:cs="Courier New"/>
      <w:kern w:val="2"/>
      <w:sz w:val="21"/>
      <w:szCs w:val="21"/>
      <w:lang w:val="en-US" w:eastAsia="zh-CN"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zh-CN"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57">
    <w:name w:val="纯文本57"/>
    <w:pPr>
      <w:widowControl w:val="0"/>
      <w:jc w:val="both"/>
    </w:pPr>
    <w:rPr>
      <w:rFonts w:ascii="宋体" w:eastAsia="宋体" w:hAnsi="Times New Roman" w:cs="Courier New"/>
      <w:kern w:val="2"/>
      <w:sz w:val="21"/>
      <w:szCs w:val="21"/>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zh-CN"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eastAsia="zh-CN"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52">
    <w:name w:val="正文文本5"/>
    <w:pPr>
      <w:widowControl w:val="0"/>
      <w:jc w:val="both"/>
    </w:pPr>
    <w:rPr>
      <w:rFonts w:ascii="Calibri" w:eastAsia="宋体" w:hAnsi="Calibri" w:cs="Times New Roman"/>
      <w:kern w:val="2"/>
      <w:sz w:val="28"/>
      <w:szCs w:val="22"/>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
    <w:name w:val="纯文本106"/>
    <w:pPr>
      <w:widowControl w:val="0"/>
      <w:jc w:val="both"/>
    </w:pPr>
    <w:rPr>
      <w:rFonts w:ascii="宋体" w:eastAsia="宋体" w:hAnsi="Times New Roman" w:cs="Courier New"/>
      <w:kern w:val="2"/>
      <w:sz w:val="21"/>
      <w:szCs w:val="21"/>
      <w:lang w:val="en-US" w:eastAsia="zh-CN"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251">
    <w:name w:val="正文125"/>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730">
    <w:name w:val="正文730"/>
    <w:pPr>
      <w:widowControl w:val="0"/>
      <w:jc w:val="both"/>
    </w:pPr>
    <w:rPr>
      <w:rFonts w:ascii="Calibri" w:eastAsia="宋体" w:hAnsi="Calibri" w:cs="Times New Roman"/>
      <w:kern w:val="2"/>
      <w:sz w:val="21"/>
      <w:szCs w:val="24"/>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400">
    <w:name w:val="纯文本40"/>
    <w:pPr>
      <w:widowControl w:val="0"/>
      <w:jc w:val="both"/>
    </w:pPr>
    <w:rPr>
      <w:rFonts w:ascii="宋体" w:eastAsia="宋体" w:hAnsi="Times New Roman" w:cs="Courier New"/>
      <w:kern w:val="2"/>
      <w:sz w:val="21"/>
      <w:szCs w:val="21"/>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3">
    <w:name w:val="批注文字5"/>
    <w:pPr>
      <w:widowControl w:val="0"/>
      <w:jc w:val="both"/>
    </w:pPr>
    <w:rPr>
      <w:rFonts w:ascii="Calibri" w:eastAsia="宋体" w:hAnsi="Calibri" w:cs="Times New Roman"/>
      <w:kern w:val="2"/>
      <w:sz w:val="24"/>
      <w:szCs w:val="28"/>
      <w:lang w:val="en-US" w:eastAsia="zh-CN" w:bidi="ar-SA"/>
    </w:rPr>
  </w:style>
  <w:style w:type="paragraph" w:customStyle="1" w:styleId="625">
    <w:name w:val="正文625"/>
    <w:pPr>
      <w:widowControl w:val="0"/>
      <w:jc w:val="both"/>
    </w:pPr>
    <w:rPr>
      <w:rFonts w:ascii="Calibri" w:eastAsia="宋体" w:hAnsi="Calibri" w:cs="Times New Roman"/>
      <w:kern w:val="2"/>
      <w:sz w:val="21"/>
      <w:szCs w:val="24"/>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eastAsia="zh-CN" w:bidi="ar-SA"/>
    </w:rPr>
  </w:style>
  <w:style w:type="paragraph" w:customStyle="1" w:styleId="1001">
    <w:name w:val="正文100"/>
    <w:pPr>
      <w:widowControl w:val="0"/>
      <w:jc w:val="both"/>
    </w:pPr>
    <w:rPr>
      <w:rFonts w:ascii="Calibri" w:eastAsia="宋体" w:hAnsi="Calibri"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Calibri" w:eastAsia="宋体" w:hAnsi="Calibri" w:cs="Times New Roman"/>
      <w:kern w:val="2"/>
      <w:sz w:val="21"/>
      <w:szCs w:val="24"/>
      <w:lang w:val="en-US" w:eastAsia="zh-CN" w:bidi="ar-SA"/>
    </w:rPr>
  </w:style>
  <w:style w:type="paragraph" w:customStyle="1" w:styleId="602">
    <w:name w:val="纯文本60"/>
    <w:pPr>
      <w:widowControl w:val="0"/>
      <w:jc w:val="both"/>
    </w:pPr>
    <w:rPr>
      <w:rFonts w:ascii="宋体" w:eastAsia="宋体" w:hAnsi="Times New Roman" w:cs="Courier New"/>
      <w:kern w:val="2"/>
      <w:sz w:val="21"/>
      <w:szCs w:val="21"/>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正文250"/>
    <w:pPr>
      <w:widowControl w:val="0"/>
      <w:jc w:val="both"/>
    </w:pPr>
    <w:rPr>
      <w:rFonts w:ascii="Calibri" w:eastAsia="宋体" w:hAnsi="Calibri"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86">
    <w:name w:val="正文186"/>
    <w:pPr>
      <w:widowControl w:val="0"/>
      <w:jc w:val="both"/>
    </w:pPr>
    <w:rPr>
      <w:rFonts w:ascii="Calibri" w:eastAsia="宋体" w:hAnsi="Calibri"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900">
    <w:name w:val="纯文本90"/>
    <w:pPr>
      <w:widowControl w:val="0"/>
      <w:jc w:val="both"/>
    </w:pPr>
    <w:rPr>
      <w:rFonts w:ascii="宋体" w:eastAsia="宋体" w:hAnsi="Times New Roman" w:cs="Courier New"/>
      <w:kern w:val="2"/>
      <w:sz w:val="21"/>
      <w:szCs w:val="21"/>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231">
    <w:name w:val="正文23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zh-CN" w:bidi="ar-SA"/>
    </w:rPr>
  </w:style>
  <w:style w:type="paragraph" w:customStyle="1" w:styleId="360">
    <w:name w:val="正文360"/>
    <w:pPr>
      <w:widowControl w:val="0"/>
      <w:jc w:val="both"/>
    </w:pPr>
    <w:rPr>
      <w:rFonts w:ascii="Calibri" w:eastAsia="宋体" w:hAnsi="Calibri"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eastAsia="zh-CN" w:bidi="ar-SA"/>
    </w:rPr>
  </w:style>
  <w:style w:type="paragraph" w:customStyle="1" w:styleId="1201">
    <w:name w:val="正文120"/>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1311">
    <w:name w:val="样式 13 11 磅"/>
    <w:next w:val="Caption"/>
    <w:rPr>
      <w:rFonts w:ascii="Calibri" w:eastAsia="宋体" w:hAnsi="Calibri" w:cs="Times New Roman"/>
      <w:sz w:val="22"/>
      <w:szCs w:val="22"/>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93">
    <w:name w:val="正文93"/>
    <w:pPr>
      <w:widowControl w:val="0"/>
      <w:jc w:val="both"/>
    </w:pPr>
    <w:rPr>
      <w:rFonts w:ascii="Calibri" w:eastAsia="宋体" w:hAnsi="Calibri" w:cs="Times New Roman"/>
      <w:kern w:val="2"/>
      <w:sz w:val="21"/>
      <w:szCs w:val="24"/>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681">
    <w:name w:val="正文681"/>
    <w:pPr>
      <w:widowControl w:val="0"/>
      <w:jc w:val="both"/>
    </w:pPr>
    <w:rPr>
      <w:rFonts w:ascii="Calibri" w:eastAsia="宋体" w:hAnsi="Calibri"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675">
    <w:name w:val="正文675"/>
    <w:pPr>
      <w:widowControl w:val="0"/>
      <w:jc w:val="both"/>
    </w:pPr>
    <w:rPr>
      <w:rFonts w:ascii="Calibri" w:eastAsia="宋体" w:hAnsi="Calibri" w:cs="Times New Roman"/>
      <w:kern w:val="2"/>
      <w:sz w:val="21"/>
      <w:szCs w:val="24"/>
      <w:lang w:val="en-US" w:eastAsia="zh-CN" w:bidi="ar-SA"/>
    </w:rPr>
  </w:style>
  <w:style w:type="paragraph" w:customStyle="1" w:styleId="940">
    <w:name w:val="正文940"/>
    <w:pPr>
      <w:widowControl w:val="0"/>
      <w:jc w:val="both"/>
    </w:pPr>
    <w:rPr>
      <w:rFonts w:ascii="Calibri" w:eastAsia="宋体" w:hAnsi="Calibri" w:cs="Times New Roman"/>
      <w:kern w:val="2"/>
      <w:sz w:val="21"/>
      <w:szCs w:val="24"/>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2600">
    <w:name w:val="正文260"/>
    <w:pPr>
      <w:widowControl w:val="0"/>
      <w:jc w:val="both"/>
    </w:pPr>
    <w:rPr>
      <w:rFonts w:ascii="Calibri" w:eastAsia="宋体" w:hAnsi="Calibri" w:cs="Times New Roman"/>
      <w:kern w:val="2"/>
      <w:sz w:val="21"/>
      <w:szCs w:val="24"/>
      <w:lang w:val="en-US" w:eastAsia="zh-CN"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330">
    <w:name w:val="正文330"/>
    <w:pPr>
      <w:widowControl w:val="0"/>
      <w:jc w:val="both"/>
    </w:pPr>
    <w:rPr>
      <w:rFonts w:ascii="Calibri" w:eastAsia="宋体" w:hAnsi="Calibri" w:cs="Times New Roman"/>
      <w:kern w:val="2"/>
      <w:sz w:val="21"/>
      <w:szCs w:val="24"/>
      <w:lang w:val="en-US" w:eastAsia="zh-CN"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zh-CN" w:bidi="ar-SA"/>
    </w:rPr>
  </w:style>
  <w:style w:type="paragraph" w:customStyle="1" w:styleId="197">
    <w:name w:val="正文19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132">
    <w:name w:val="纯文本132"/>
    <w:pPr>
      <w:widowControl w:val="0"/>
      <w:jc w:val="both"/>
    </w:pPr>
    <w:rPr>
      <w:rFonts w:ascii="宋体" w:eastAsia="宋体" w:hAnsi="Times New Roman" w:cs="Courier New"/>
      <w:kern w:val="2"/>
      <w:sz w:val="21"/>
      <w:szCs w:val="21"/>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zh-CN" w:bidi="ar-SA"/>
    </w:rPr>
  </w:style>
  <w:style w:type="paragraph" w:customStyle="1" w:styleId="166">
    <w:name w:val="正文166"/>
    <w:pPr>
      <w:widowControl w:val="0"/>
      <w:jc w:val="both"/>
    </w:pPr>
    <w:rPr>
      <w:rFonts w:ascii="Calibri" w:eastAsia="宋体" w:hAnsi="Calibri"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1440">
    <w:name w:val="正文144"/>
    <w:pPr>
      <w:widowControl w:val="0"/>
      <w:jc w:val="both"/>
    </w:pPr>
    <w:rPr>
      <w:rFonts w:ascii="Calibri" w:eastAsia="宋体" w:hAnsi="Calibri" w:cs="Times New Roman"/>
      <w:kern w:val="2"/>
      <w:sz w:val="21"/>
      <w:szCs w:val="24"/>
      <w:lang w:val="en-US" w:eastAsia="zh-CN"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eastAsia="zh-CN" w:bidi="ar-SA"/>
    </w:rPr>
  </w:style>
  <w:style w:type="paragraph" w:customStyle="1" w:styleId="317">
    <w:name w:val="正文317"/>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07">
    <w:name w:val="纯文本107"/>
    <w:pPr>
      <w:widowControl w:val="0"/>
      <w:jc w:val="both"/>
    </w:pPr>
    <w:rPr>
      <w:rFonts w:ascii="宋体" w:eastAsia="宋体" w:hAnsi="Times New Roman" w:cs="Courier New"/>
      <w:kern w:val="2"/>
      <w:sz w:val="21"/>
      <w:szCs w:val="21"/>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94">
    <w:name w:val="纯文本94"/>
    <w:pPr>
      <w:widowControl w:val="0"/>
      <w:jc w:val="both"/>
    </w:pPr>
    <w:rPr>
      <w:rFonts w:ascii="宋体" w:eastAsia="宋体" w:hAnsi="Times New Roman" w:cs="Courier New"/>
      <w:kern w:val="2"/>
      <w:sz w:val="21"/>
      <w:szCs w:val="21"/>
      <w:lang w:val="en-US" w:eastAsia="zh-CN"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zh-CN" w:bidi="ar-SA"/>
    </w:rPr>
  </w:style>
  <w:style w:type="paragraph" w:customStyle="1" w:styleId="1202">
    <w:name w:val="纯文本120"/>
    <w:pPr>
      <w:widowControl w:val="0"/>
      <w:jc w:val="both"/>
    </w:pPr>
    <w:rPr>
      <w:rFonts w:ascii="宋体" w:eastAsia="宋体" w:hAnsi="Times New Roman" w:cs="Courier New"/>
      <w:kern w:val="2"/>
      <w:sz w:val="21"/>
      <w:szCs w:val="21"/>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490">
    <w:name w:val="正文490"/>
    <w:pPr>
      <w:widowControl w:val="0"/>
      <w:jc w:val="both"/>
    </w:pPr>
    <w:rPr>
      <w:rFonts w:ascii="Calibri" w:eastAsia="宋体" w:hAnsi="Calibri" w:cs="Times New Roman"/>
      <w:kern w:val="2"/>
      <w:sz w:val="21"/>
      <w:szCs w:val="24"/>
      <w:lang w:val="en-US" w:eastAsia="zh-CN" w:bidi="ar-SA"/>
    </w:rPr>
  </w:style>
  <w:style w:type="paragraph" w:customStyle="1" w:styleId="36">
    <w:name w:val="纯文本36"/>
    <w:pPr>
      <w:widowControl w:val="0"/>
      <w:jc w:val="both"/>
    </w:pPr>
    <w:rPr>
      <w:rFonts w:ascii="宋体" w:eastAsia="宋体" w:hAnsi="Times New Roman" w:cs="Courier New"/>
      <w:kern w:val="2"/>
      <w:sz w:val="21"/>
      <w:szCs w:val="21"/>
      <w:lang w:val="en-US" w:eastAsia="zh-CN"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1911">
    <w:name w:val="样式 19 11 磅"/>
    <w:rPr>
      <w:rFonts w:ascii="Calibri" w:eastAsia="宋体" w:hAnsi="Calibri" w:cs="Times New Roman"/>
      <w:sz w:val="22"/>
      <w:szCs w:val="22"/>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95">
    <w:name w:val="纯文本95"/>
    <w:pPr>
      <w:widowControl w:val="0"/>
      <w:jc w:val="both"/>
    </w:pPr>
    <w:rPr>
      <w:rFonts w:ascii="宋体" w:eastAsia="宋体" w:hAnsi="Times New Roman" w:cs="Courier New"/>
      <w:kern w:val="2"/>
      <w:sz w:val="21"/>
      <w:szCs w:val="21"/>
      <w:lang w:val="en-US" w:eastAsia="zh-CN"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520">
    <w:name w:val="正文520"/>
    <w:pPr>
      <w:widowControl w:val="0"/>
      <w:jc w:val="both"/>
    </w:pPr>
    <w:rPr>
      <w:rFonts w:ascii="Calibri" w:eastAsia="宋体" w:hAnsi="Calibri"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zh-CN" w:bidi="ar-SA"/>
    </w:rPr>
  </w:style>
  <w:style w:type="paragraph" w:customStyle="1" w:styleId="511">
    <w:name w:val="样式 5 11 磅"/>
    <w:rPr>
      <w:rFonts w:ascii="Calibri" w:eastAsia="宋体" w:hAnsi="Calibri" w:cs="Times New Roman"/>
      <w:sz w:val="22"/>
      <w:szCs w:val="22"/>
      <w:lang w:val="en-US" w:eastAsia="zh-CN" w:bidi="ar-SA"/>
    </w:rPr>
  </w:style>
  <w:style w:type="paragraph" w:customStyle="1" w:styleId="1034">
    <w:name w:val="正文1034"/>
    <w:rPr>
      <w:rFonts w:ascii="Calibri" w:eastAsia="宋体" w:hAnsi="Calibri" w:cs="Times New Roman"/>
      <w:kern w:val="2"/>
      <w:sz w:val="21"/>
      <w:szCs w:val="21"/>
      <w:lang w:val="en-US" w:eastAsia="zh-CN"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Calibri" w:eastAsia="宋体" w:hAnsi="Calibri"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zh-CN" w:bidi="ar-SA"/>
    </w:rPr>
  </w:style>
  <w:style w:type="paragraph" w:customStyle="1" w:styleId="820">
    <w:name w:val="正文82"/>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1044">
    <w:name w:val="正文1044"/>
    <w:pPr>
      <w:widowControl w:val="0"/>
      <w:jc w:val="both"/>
    </w:pPr>
    <w:rPr>
      <w:rFonts w:ascii="Calibri" w:eastAsia="宋体" w:hAnsi="Calibri" w:cs="Times New Roman"/>
      <w:kern w:val="2"/>
      <w:sz w:val="21"/>
      <w:szCs w:val="22"/>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zh-CN"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zh-CN"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4510">
    <w:name w:val="正文451"/>
    <w:pPr>
      <w:widowControl w:val="0"/>
      <w:jc w:val="both"/>
    </w:pPr>
    <w:rPr>
      <w:rFonts w:ascii="Calibri" w:eastAsia="宋体" w:hAnsi="Calibri"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302">
    <w:name w:val="正文302"/>
    <w:pPr>
      <w:widowControl w:val="0"/>
      <w:jc w:val="both"/>
    </w:pPr>
    <w:rPr>
      <w:rFonts w:ascii="Calibri" w:eastAsia="宋体" w:hAnsi="Calibri" w:cs="Times New Roman"/>
      <w:kern w:val="2"/>
      <w:sz w:val="21"/>
      <w:szCs w:val="24"/>
      <w:lang w:val="en-US" w:eastAsia="zh-CN" w:bidi="ar-SA"/>
    </w:rPr>
  </w:style>
  <w:style w:type="paragraph" w:customStyle="1" w:styleId="97">
    <w:name w:val="纯文本97"/>
    <w:pPr>
      <w:widowControl w:val="0"/>
      <w:jc w:val="both"/>
    </w:pPr>
    <w:rPr>
      <w:rFonts w:ascii="宋体" w:eastAsia="宋体" w:hAnsi="Times New Roman" w:cs="Courier New"/>
      <w:kern w:val="2"/>
      <w:sz w:val="21"/>
      <w:szCs w:val="21"/>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zh-CN"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zh-CN"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11">
    <w:name w:val="样式 12 11 磅"/>
    <w:next w:val="TOC3"/>
    <w:rPr>
      <w:rFonts w:ascii="Calibri" w:eastAsia="宋体" w:hAnsi="Calibri" w:cs="Times New Roman"/>
      <w:sz w:val="22"/>
      <w:szCs w:val="22"/>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381">
    <w:name w:val="正文38"/>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1280">
    <w:name w:val="纯文本128"/>
    <w:pPr>
      <w:widowControl w:val="0"/>
      <w:jc w:val="both"/>
    </w:pPr>
    <w:rPr>
      <w:rFonts w:ascii="宋体" w:eastAsia="宋体" w:hAnsi="Times New Roman" w:cs="Courier New"/>
      <w:kern w:val="2"/>
      <w:sz w:val="21"/>
      <w:szCs w:val="21"/>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1040">
    <w:name w:val="正文1040"/>
    <w:pPr>
      <w:widowControl w:val="0"/>
      <w:jc w:val="both"/>
    </w:pPr>
    <w:rPr>
      <w:rFonts w:ascii="Calibri" w:eastAsia="宋体" w:hAnsi="Calibri" w:cs="Times New Roman"/>
      <w:kern w:val="2"/>
      <w:sz w:val="21"/>
      <w:szCs w:val="22"/>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zh-CN"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4100">
    <w:name w:val="正文410"/>
    <w:pPr>
      <w:widowControl w:val="0"/>
      <w:jc w:val="both"/>
    </w:pPr>
    <w:rPr>
      <w:rFonts w:ascii="Calibri" w:eastAsia="宋体" w:hAnsi="Calibri" w:cs="Times New Roman"/>
      <w:kern w:val="2"/>
      <w:sz w:val="21"/>
      <w:szCs w:val="24"/>
      <w:lang w:val="en-US" w:eastAsia="zh-CN"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eastAsia="zh-CN"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002">
    <w:name w:val="纯文本100"/>
    <w:pPr>
      <w:widowControl w:val="0"/>
      <w:jc w:val="both"/>
    </w:pPr>
    <w:rPr>
      <w:rFonts w:ascii="宋体" w:eastAsia="宋体" w:hAnsi="Times New Roman" w:cs="Courier New"/>
      <w:kern w:val="2"/>
      <w:sz w:val="21"/>
      <w:szCs w:val="21"/>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970">
    <w:name w:val="正文97"/>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862">
    <w:name w:val="正文86"/>
    <w:pPr>
      <w:widowControl w:val="0"/>
      <w:jc w:val="both"/>
    </w:pPr>
    <w:rPr>
      <w:rFonts w:ascii="Calibri" w:eastAsia="宋体" w:hAnsi="Calibri"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90">
    <w:name w:val="正文290"/>
    <w:pPr>
      <w:widowControl w:val="0"/>
      <w:jc w:val="both"/>
    </w:pPr>
    <w:rPr>
      <w:rFonts w:ascii="Calibri" w:eastAsia="宋体" w:hAnsi="Calibri" w:cs="Times New Roman"/>
      <w:kern w:val="2"/>
      <w:sz w:val="21"/>
      <w:szCs w:val="24"/>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eastAsia="zh-CN" w:bidi="ar-SA"/>
    </w:rPr>
  </w:style>
  <w:style w:type="paragraph" w:customStyle="1" w:styleId="190">
    <w:name w:val="正文19"/>
    <w:pPr>
      <w:widowControl w:val="0"/>
      <w:jc w:val="both"/>
    </w:pPr>
    <w:rPr>
      <w:rFonts w:ascii="Calibri" w:eastAsia="宋体" w:hAnsi="Calibri" w:cs="Times New Roman"/>
      <w:kern w:val="2"/>
      <w:sz w:val="21"/>
      <w:szCs w:val="22"/>
      <w:lang w:val="en-US" w:eastAsia="zh-CN" w:bidi="ar-SA"/>
    </w:rPr>
  </w:style>
  <w:style w:type="paragraph" w:customStyle="1" w:styleId="1121">
    <w:name w:val="纯文本112"/>
    <w:pPr>
      <w:widowControl w:val="0"/>
      <w:jc w:val="both"/>
    </w:pPr>
    <w:rPr>
      <w:rFonts w:ascii="宋体" w:eastAsia="宋体" w:hAnsi="Times New Roman" w:cs="Courier New"/>
      <w:kern w:val="2"/>
      <w:sz w:val="21"/>
      <w:szCs w:val="21"/>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2011">
    <w:name w:val="正文201"/>
    <w:pPr>
      <w:widowControl w:val="0"/>
      <w:jc w:val="both"/>
    </w:pPr>
    <w:rPr>
      <w:rFonts w:ascii="Calibri" w:eastAsia="宋体" w:hAnsi="Calibri"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133">
    <w:name w:val="无间隔1"/>
    <w:pPr>
      <w:spacing w:line="360" w:lineRule="auto"/>
    </w:pPr>
    <w:rPr>
      <w:rFonts w:ascii="Calibri" w:eastAsia="宋体" w:hAnsi="Calibri" w:cs="Times New Roman"/>
      <w:kern w:val="2"/>
      <w:sz w:val="22"/>
      <w:szCs w:val="28"/>
      <w:lang w:val="en-US" w:eastAsia="zh-CN"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eastAsia="zh-CN"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1110">
    <w:name w:val="正文1111"/>
    <w:pPr>
      <w:widowControl w:val="0"/>
      <w:jc w:val="both"/>
    </w:pPr>
    <w:rPr>
      <w:rFonts w:ascii="Calibri" w:eastAsia="宋体" w:hAnsi="Calibri" w:cs="Times New Roman"/>
      <w:kern w:val="2"/>
      <w:sz w:val="21"/>
      <w:szCs w:val="24"/>
      <w:lang w:val="en-US" w:eastAsia="zh-CN"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eastAsia="zh-CN"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3">
    <w:name w:val="正文523"/>
    <w:pPr>
      <w:widowControl w:val="0"/>
      <w:jc w:val="both"/>
    </w:pPr>
    <w:rPr>
      <w:rFonts w:ascii="Calibri" w:eastAsia="宋体" w:hAnsi="Calibri"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591">
    <w:name w:val="正文59"/>
    <w:pPr>
      <w:widowControl w:val="0"/>
      <w:jc w:val="both"/>
    </w:pPr>
    <w:rPr>
      <w:rFonts w:ascii="Calibri" w:eastAsia="宋体" w:hAnsi="Calibri" w:cs="Times New Roman"/>
      <w:kern w:val="2"/>
      <w:sz w:val="21"/>
      <w:szCs w:val="24"/>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5130">
    <w:name w:val="正文513"/>
    <w:pPr>
      <w:widowControl w:val="0"/>
      <w:jc w:val="both"/>
    </w:pPr>
    <w:rPr>
      <w:rFonts w:ascii="Calibri" w:eastAsia="宋体" w:hAnsi="Calibri"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273">
    <w:name w:val="纯文本27"/>
    <w:pPr>
      <w:widowControl w:val="0"/>
      <w:jc w:val="both"/>
    </w:pPr>
    <w:rPr>
      <w:rFonts w:ascii="宋体" w:eastAsia="宋体" w:hAnsi="Times New Roman" w:cs="Courier New"/>
      <w:kern w:val="2"/>
      <w:sz w:val="21"/>
      <w:szCs w:val="21"/>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514">
    <w:name w:val="纯文本51"/>
    <w:pPr>
      <w:widowControl w:val="0"/>
      <w:jc w:val="both"/>
    </w:pPr>
    <w:rPr>
      <w:rFonts w:ascii="宋体" w:eastAsia="宋体" w:hAnsi="Times New Roman" w:cs="Courier New"/>
      <w:kern w:val="2"/>
      <w:sz w:val="21"/>
      <w:szCs w:val="21"/>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zh-CN"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062">
    <w:name w:val="正文106"/>
    <w:pPr>
      <w:widowControl w:val="0"/>
      <w:jc w:val="both"/>
    </w:pPr>
    <w:rPr>
      <w:rFonts w:ascii="Calibri" w:eastAsia="宋体" w:hAnsi="Calibri"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zh-CN" w:bidi="ar-SA"/>
    </w:rPr>
  </w:style>
  <w:style w:type="paragraph" w:customStyle="1" w:styleId="325">
    <w:name w:val="纯文本32"/>
    <w:pPr>
      <w:widowControl w:val="0"/>
      <w:jc w:val="both"/>
    </w:pPr>
    <w:rPr>
      <w:rFonts w:ascii="宋体" w:eastAsia="宋体" w:hAnsi="Times New Roman" w:cs="Courier New"/>
      <w:kern w:val="2"/>
      <w:sz w:val="21"/>
      <w:szCs w:val="21"/>
      <w:lang w:val="en-US" w:eastAsia="zh-CN" w:bidi="ar-SA"/>
    </w:rPr>
  </w:style>
  <w:style w:type="paragraph" w:customStyle="1" w:styleId="1183">
    <w:name w:val="正文118"/>
    <w:pPr>
      <w:widowControl w:val="0"/>
      <w:jc w:val="both"/>
    </w:pPr>
    <w:rPr>
      <w:rFonts w:ascii="Calibri" w:eastAsia="宋体" w:hAnsi="Calibri" w:cs="Times New Roman"/>
      <w:kern w:val="2"/>
      <w:sz w:val="21"/>
      <w:szCs w:val="24"/>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eastAsia="zh-CN" w:bidi="ar-SA"/>
    </w:rPr>
  </w:style>
  <w:style w:type="paragraph" w:customStyle="1" w:styleId="193">
    <w:name w:val="正文193"/>
    <w:pPr>
      <w:widowControl w:val="0"/>
      <w:jc w:val="both"/>
    </w:pPr>
    <w:rPr>
      <w:rFonts w:ascii="Calibri" w:eastAsia="宋体" w:hAnsi="Calibri" w:cs="Times New Roman"/>
      <w:kern w:val="2"/>
      <w:sz w:val="21"/>
      <w:szCs w:val="24"/>
      <w:lang w:val="en-US" w:eastAsia="zh-CN" w:bidi="ar-SA"/>
    </w:rPr>
  </w:style>
  <w:style w:type="paragraph" w:customStyle="1" w:styleId="a25">
    <w:name w:val="公式样式 变量"/>
    <w:rPr>
      <w:rFonts w:ascii="Calibri" w:eastAsia="宋体" w:hAnsi="Calibri" w:cs="Times New Roman"/>
      <w:i/>
      <w:iCs/>
      <w:kern w:val="2"/>
      <w:sz w:val="20"/>
      <w:szCs w:val="28"/>
      <w:lang w:val="en-US" w:eastAsia="zh-CN"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6030">
    <w:name w:val="正文603"/>
    <w:pPr>
      <w:widowControl w:val="0"/>
      <w:jc w:val="both"/>
    </w:pPr>
    <w:rPr>
      <w:rFonts w:ascii="Calibri" w:eastAsia="宋体" w:hAnsi="Calibri"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zh-CN"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960">
    <w:name w:val="纯文本96"/>
    <w:pPr>
      <w:widowControl w:val="0"/>
      <w:jc w:val="both"/>
    </w:pPr>
    <w:rPr>
      <w:rFonts w:ascii="宋体" w:eastAsia="宋体" w:hAnsi="Times New Roman" w:cs="Courier New"/>
      <w:kern w:val="2"/>
      <w:sz w:val="21"/>
      <w:szCs w:val="21"/>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241">
    <w:name w:val="正文241"/>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zh-CN"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eastAsia="zh-CN" w:bidi="ar-SA"/>
    </w:rPr>
  </w:style>
  <w:style w:type="paragraph" w:customStyle="1" w:styleId="1171">
    <w:name w:val="纯文本117"/>
    <w:pPr>
      <w:widowControl w:val="0"/>
      <w:jc w:val="both"/>
    </w:pPr>
    <w:rPr>
      <w:rFonts w:ascii="宋体" w:eastAsia="宋体" w:hAnsi="Times New Roman" w:cs="Courier New"/>
      <w:kern w:val="2"/>
      <w:sz w:val="21"/>
      <w:szCs w:val="21"/>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672">
    <w:name w:val="正文67"/>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1107">
    <w:name w:val="正文1107"/>
    <w:pPr>
      <w:widowControl w:val="0"/>
      <w:jc w:val="both"/>
    </w:pPr>
    <w:rPr>
      <w:rFonts w:ascii="Calibri" w:eastAsia="宋体" w:hAnsi="Calibri" w:cs="Times New Roman"/>
      <w:kern w:val="2"/>
      <w:sz w:val="21"/>
      <w:szCs w:val="24"/>
      <w:lang w:val="en-US" w:eastAsia="zh-CN" w:bidi="ar-SA"/>
    </w:rPr>
  </w:style>
  <w:style w:type="paragraph" w:customStyle="1" w:styleId="692">
    <w:name w:val="正文692"/>
    <w:pPr>
      <w:widowControl w:val="0"/>
      <w:jc w:val="both"/>
    </w:pPr>
    <w:rPr>
      <w:rFonts w:ascii="Calibri" w:eastAsia="宋体" w:hAnsi="Calibri" w:cs="Times New Roman"/>
      <w:kern w:val="2"/>
      <w:sz w:val="21"/>
      <w:szCs w:val="24"/>
      <w:lang w:val="en-US" w:eastAsia="zh-CN"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Calibri" w:eastAsia="宋体" w:hAnsi="Calibri"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114">
    <w:name w:val="纯文本111"/>
    <w:pPr>
      <w:widowControl w:val="0"/>
      <w:jc w:val="both"/>
    </w:pPr>
    <w:rPr>
      <w:rFonts w:ascii="宋体" w:eastAsia="宋体" w:hAnsi="Times New Roman" w:cs="Courier New"/>
      <w:kern w:val="2"/>
      <w:sz w:val="21"/>
      <w:szCs w:val="21"/>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4400">
    <w:name w:val="正文440"/>
    <w:pPr>
      <w:widowControl w:val="0"/>
      <w:jc w:val="both"/>
    </w:pPr>
    <w:rPr>
      <w:rFonts w:ascii="Calibri" w:eastAsia="宋体" w:hAnsi="Calibri"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505">
    <w:name w:val="纯文本50"/>
    <w:pPr>
      <w:widowControl w:val="0"/>
      <w:jc w:val="both"/>
    </w:pPr>
    <w:rPr>
      <w:rFonts w:ascii="宋体" w:eastAsia="宋体" w:hAnsi="Times New Roman" w:cs="Courier New"/>
      <w:kern w:val="2"/>
      <w:sz w:val="21"/>
      <w:szCs w:val="21"/>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416">
    <w:name w:val="正文4"/>
    <w:pPr>
      <w:widowControl w:val="0"/>
      <w:jc w:val="both"/>
    </w:pPr>
    <w:rPr>
      <w:rFonts w:ascii="Calibri" w:eastAsia="宋体" w:hAnsi="Calibri" w:cs="Times New Roman"/>
      <w:kern w:val="2"/>
      <w:sz w:val="21"/>
      <w:szCs w:val="22"/>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zh-CN"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zh-CN"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zh-CN"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eastAsia="zh-CN"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43">
    <w:name w:val="正文74"/>
    <w:pPr>
      <w:widowControl w:val="0"/>
      <w:jc w:val="both"/>
    </w:pPr>
    <w:rPr>
      <w:rFonts w:ascii="Calibri" w:eastAsia="宋体" w:hAnsi="Calibri"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
    <w:name w:val="正文141"/>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zh-CN"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zh-CN"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zh-CN" w:bidi="ar-SA"/>
    </w:rPr>
  </w:style>
  <w:style w:type="paragraph" w:customStyle="1" w:styleId="162">
    <w:name w:val="表格1"/>
    <w:pPr>
      <w:widowControl w:val="0"/>
      <w:jc w:val="center"/>
    </w:pPr>
    <w:rPr>
      <w:rFonts w:ascii="Calibri" w:eastAsia="宋体" w:hAnsi="Calibri" w:cs="Times New Roman"/>
      <w:kern w:val="2"/>
      <w:sz w:val="24"/>
      <w:szCs w:val="28"/>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080">
    <w:name w:val="纯文本108"/>
    <w:pPr>
      <w:widowControl w:val="0"/>
      <w:jc w:val="both"/>
    </w:pPr>
    <w:rPr>
      <w:rFonts w:ascii="宋体" w:eastAsia="宋体" w:hAnsi="Times New Roman" w:cs="Courier New"/>
      <w:kern w:val="2"/>
      <w:sz w:val="21"/>
      <w:szCs w:val="21"/>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174">
    <w:name w:val="正文17"/>
    <w:pPr>
      <w:widowControl w:val="0"/>
      <w:jc w:val="both"/>
    </w:pPr>
    <w:rPr>
      <w:rFonts w:ascii="Calibri" w:eastAsia="宋体" w:hAnsi="Calibri" w:cs="Times New Roman"/>
      <w:kern w:val="2"/>
      <w:sz w:val="21"/>
      <w:szCs w:val="22"/>
      <w:lang w:val="en-US" w:eastAsia="zh-CN" w:bidi="ar-SA"/>
    </w:rPr>
  </w:style>
  <w:style w:type="paragraph" w:customStyle="1" w:styleId="720">
    <w:name w:val="纯文本72"/>
    <w:pPr>
      <w:widowControl w:val="0"/>
      <w:jc w:val="both"/>
    </w:pPr>
    <w:rPr>
      <w:rFonts w:ascii="宋体" w:eastAsia="宋体" w:hAnsi="Times New Roman" w:cs="Courier New"/>
      <w:kern w:val="2"/>
      <w:sz w:val="21"/>
      <w:szCs w:val="21"/>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657">
    <w:name w:val="正文657"/>
    <w:pPr>
      <w:widowControl w:val="0"/>
      <w:jc w:val="both"/>
    </w:pPr>
    <w:rPr>
      <w:rFonts w:ascii="Calibri" w:eastAsia="宋体" w:hAnsi="Calibri"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zh-CN" w:bidi="ar-SA"/>
    </w:rPr>
  </w:style>
  <w:style w:type="paragraph" w:customStyle="1" w:styleId="220">
    <w:name w:val="纯文本22"/>
    <w:pPr>
      <w:widowControl w:val="0"/>
      <w:jc w:val="both"/>
    </w:pPr>
    <w:rPr>
      <w:rFonts w:ascii="宋体" w:eastAsia="宋体" w:hAnsi="Times New Roman" w:cs="Courier New"/>
      <w:kern w:val="2"/>
      <w:sz w:val="21"/>
      <w:szCs w:val="21"/>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164">
    <w:name w:val="页码1"/>
    <w:rPr>
      <w:rFonts w:ascii="Calibri" w:eastAsia="微软雅黑" w:hAnsi="Calibri" w:cs="Times New Roman"/>
      <w:kern w:val="2"/>
      <w:sz w:val="20"/>
      <w:szCs w:val="28"/>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zh-CN"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153">
    <w:name w:val="纯文本115"/>
    <w:pPr>
      <w:widowControl w:val="0"/>
      <w:jc w:val="both"/>
    </w:pPr>
    <w:rPr>
      <w:rFonts w:ascii="宋体" w:eastAsia="宋体" w:hAnsi="Times New Roman" w:cs="Courier New"/>
      <w:kern w:val="2"/>
      <w:sz w:val="21"/>
      <w:szCs w:val="21"/>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
    <w:name w:val="纯文本38"/>
    <w:pPr>
      <w:widowControl w:val="0"/>
      <w:jc w:val="both"/>
    </w:pPr>
    <w:rPr>
      <w:rFonts w:ascii="宋体" w:eastAsia="宋体" w:hAnsi="Times New Roman" w:cs="Courier New"/>
      <w:kern w:val="2"/>
      <w:sz w:val="21"/>
      <w:szCs w:val="21"/>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zh-CN"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371">
    <w:name w:val="正文371"/>
    <w:pPr>
      <w:widowControl w:val="0"/>
      <w:jc w:val="both"/>
    </w:pPr>
    <w:rPr>
      <w:rFonts w:ascii="Calibri" w:eastAsia="宋体" w:hAnsi="Calibri" w:cs="Times New Roman"/>
      <w:kern w:val="2"/>
      <w:sz w:val="21"/>
      <w:szCs w:val="24"/>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965">
    <w:name w:val="正文96"/>
    <w:pPr>
      <w:widowControl w:val="0"/>
      <w:jc w:val="both"/>
    </w:pPr>
    <w:rPr>
      <w:rFonts w:ascii="Calibri" w:eastAsia="宋体" w:hAnsi="Calibri" w:cs="Times New Roman"/>
      <w:kern w:val="2"/>
      <w:sz w:val="21"/>
      <w:szCs w:val="24"/>
      <w:lang w:val="en-US" w:eastAsia="zh-CN" w:bidi="ar-SA"/>
    </w:rPr>
  </w:style>
  <w:style w:type="paragraph" w:customStyle="1" w:styleId="673">
    <w:name w:val="纯文本67"/>
    <w:pPr>
      <w:widowControl w:val="0"/>
      <w:jc w:val="both"/>
    </w:pPr>
    <w:rPr>
      <w:rFonts w:ascii="宋体" w:eastAsia="宋体" w:hAnsi="Times New Roman" w:cs="Courier New"/>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zh-CN"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990">
    <w:name w:val="正文990"/>
    <w:pPr>
      <w:widowControl w:val="0"/>
      <w:jc w:val="both"/>
    </w:pPr>
    <w:rPr>
      <w:rFonts w:ascii="Calibri" w:eastAsia="宋体" w:hAnsi="Calibri" w:cs="Times New Roman"/>
      <w:kern w:val="2"/>
      <w:sz w:val="21"/>
      <w:szCs w:val="22"/>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1530">
    <w:name w:val="正文1153"/>
    <w:pPr>
      <w:widowControl w:val="0"/>
      <w:jc w:val="both"/>
    </w:pPr>
    <w:rPr>
      <w:rFonts w:ascii="Calibri" w:eastAsia="宋体" w:hAnsi="Calibri"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1090">
    <w:name w:val="纯文本109"/>
    <w:pPr>
      <w:widowControl w:val="0"/>
      <w:jc w:val="both"/>
    </w:pPr>
    <w:rPr>
      <w:rFonts w:ascii="宋体" w:eastAsia="宋体" w:hAnsi="Times New Roman" w:cs="Courier New"/>
      <w:kern w:val="2"/>
      <w:sz w:val="21"/>
      <w:szCs w:val="21"/>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zh-CN"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zh-CN" w:bidi="ar-SA"/>
    </w:rPr>
  </w:style>
  <w:style w:type="paragraph" w:customStyle="1" w:styleId="221">
    <w:name w:val="正文文本2"/>
    <w:pPr>
      <w:widowControl w:val="0"/>
      <w:jc w:val="both"/>
    </w:pPr>
    <w:rPr>
      <w:rFonts w:ascii="Calibri" w:eastAsia="宋体" w:hAnsi="Calibri" w:cs="Times New Roman"/>
      <w:kern w:val="2"/>
      <w:sz w:val="28"/>
      <w:szCs w:val="22"/>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zh-CN"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zh-CN" w:bidi="ar-SA"/>
    </w:rPr>
  </w:style>
  <w:style w:type="paragraph" w:customStyle="1" w:styleId="4910">
    <w:name w:val="正文491"/>
    <w:pPr>
      <w:widowControl w:val="0"/>
      <w:jc w:val="both"/>
    </w:pPr>
    <w:rPr>
      <w:rFonts w:ascii="Calibri" w:eastAsia="宋体" w:hAnsi="Calibri" w:cs="Times New Roman"/>
      <w:kern w:val="2"/>
      <w:sz w:val="21"/>
      <w:szCs w:val="24"/>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630">
    <w:name w:val="正文563"/>
    <w:pPr>
      <w:widowControl w:val="0"/>
      <w:jc w:val="both"/>
    </w:pPr>
    <w:rPr>
      <w:rFonts w:ascii="Calibri" w:eastAsia="宋体" w:hAnsi="Calibri" w:cs="Times New Roman"/>
      <w:kern w:val="2"/>
      <w:sz w:val="21"/>
      <w:szCs w:val="24"/>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zh-CN" w:bidi="ar-SA"/>
    </w:rPr>
  </w:style>
  <w:style w:type="paragraph" w:customStyle="1" w:styleId="6600">
    <w:name w:val="正文660"/>
    <w:pPr>
      <w:widowControl w:val="0"/>
      <w:jc w:val="both"/>
    </w:pPr>
    <w:rPr>
      <w:rFonts w:ascii="Calibri" w:eastAsia="宋体" w:hAnsi="Calibri" w:cs="Times New Roman"/>
      <w:kern w:val="2"/>
      <w:sz w:val="21"/>
      <w:szCs w:val="24"/>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0300">
    <w:name w:val="正文1030"/>
    <w:rPr>
      <w:rFonts w:ascii="Calibri" w:eastAsia="宋体" w:hAnsi="Calibri" w:cs="Times New Roman"/>
      <w:kern w:val="2"/>
      <w:sz w:val="21"/>
      <w:szCs w:val="21"/>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zh-CN"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1460">
    <w:name w:val="正文146"/>
    <w:pPr>
      <w:widowControl w:val="0"/>
      <w:jc w:val="both"/>
    </w:pPr>
    <w:rPr>
      <w:rFonts w:ascii="Calibri" w:eastAsia="宋体" w:hAnsi="Calibri"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3340">
    <w:name w:val="正文334"/>
    <w:pPr>
      <w:widowControl w:val="0"/>
      <w:jc w:val="both"/>
    </w:pPr>
    <w:rPr>
      <w:rFonts w:ascii="Calibri" w:eastAsia="宋体" w:hAnsi="Calibri"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874">
    <w:name w:val="正文87"/>
    <w:pPr>
      <w:widowControl w:val="0"/>
      <w:jc w:val="both"/>
    </w:pPr>
    <w:rPr>
      <w:rFonts w:ascii="Calibri" w:eastAsia="宋体" w:hAnsi="Calibri"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zh-CN"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eastAsia="zh-CN"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zh-CN" w:bidi="ar-SA"/>
    </w:rPr>
  </w:style>
  <w:style w:type="paragraph" w:customStyle="1" w:styleId="294">
    <w:name w:val="纯文本29"/>
    <w:pPr>
      <w:widowControl w:val="0"/>
      <w:jc w:val="both"/>
    </w:pPr>
    <w:rPr>
      <w:rFonts w:ascii="宋体" w:eastAsia="宋体" w:hAnsi="Times New Roman" w:cs="Courier New"/>
      <w:kern w:val="2"/>
      <w:sz w:val="21"/>
      <w:szCs w:val="21"/>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5410">
    <w:name w:val="正文541"/>
    <w:pPr>
      <w:widowControl w:val="0"/>
      <w:jc w:val="both"/>
    </w:pPr>
    <w:rPr>
      <w:rFonts w:ascii="Calibri" w:eastAsia="宋体" w:hAnsi="Calibri"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4">
    <w:name w:val="纯文本10"/>
    <w:pPr>
      <w:widowControl w:val="0"/>
      <w:jc w:val="both"/>
    </w:pPr>
    <w:rPr>
      <w:rFonts w:ascii="宋体" w:eastAsia="宋体" w:hAnsi="Times New Roman" w:cs="Courier New"/>
      <w:kern w:val="2"/>
      <w:sz w:val="21"/>
      <w:szCs w:val="21"/>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zh-CN" w:bidi="ar-SA"/>
    </w:rPr>
  </w:style>
  <w:style w:type="paragraph" w:customStyle="1" w:styleId="263">
    <w:name w:val="正文263"/>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1210">
    <w:name w:val="正文1121"/>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zh-CN"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123">
    <w:name w:val="正文1123"/>
    <w:pPr>
      <w:widowControl w:val="0"/>
      <w:jc w:val="both"/>
    </w:pPr>
    <w:rPr>
      <w:rFonts w:ascii="Calibri" w:eastAsia="宋体" w:hAnsi="Calibri" w:cs="Times New Roman"/>
      <w:kern w:val="2"/>
      <w:sz w:val="21"/>
      <w:szCs w:val="24"/>
      <w:lang w:val="en-US" w:eastAsia="zh-CN"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1370">
    <w:name w:val="正文137"/>
    <w:pPr>
      <w:widowControl w:val="0"/>
      <w:jc w:val="both"/>
    </w:pPr>
    <w:rPr>
      <w:rFonts w:ascii="Calibri" w:eastAsia="宋体" w:hAnsi="Calibri" w:cs="Times New Roman"/>
      <w:kern w:val="2"/>
      <w:sz w:val="21"/>
      <w:szCs w:val="24"/>
      <w:lang w:val="en-US" w:eastAsia="zh-CN" w:bidi="ar-SA"/>
    </w:rPr>
  </w:style>
  <w:style w:type="paragraph" w:customStyle="1" w:styleId="1420">
    <w:name w:val="正文142"/>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eastAsia="zh-CN" w:bidi="ar-SA"/>
    </w:rPr>
  </w:style>
  <w:style w:type="paragraph" w:customStyle="1" w:styleId="779">
    <w:name w:val="纯文本77"/>
    <w:pPr>
      <w:widowControl w:val="0"/>
      <w:jc w:val="both"/>
    </w:pPr>
    <w:rPr>
      <w:rFonts w:ascii="宋体" w:eastAsia="宋体" w:hAnsi="Times New Roman" w:cs="Courier New"/>
      <w:kern w:val="2"/>
      <w:sz w:val="21"/>
      <w:szCs w:val="21"/>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3040">
    <w:name w:val="正文304"/>
    <w:pPr>
      <w:widowControl w:val="0"/>
      <w:jc w:val="both"/>
    </w:pPr>
    <w:rPr>
      <w:rFonts w:ascii="Calibri" w:eastAsia="宋体" w:hAnsi="Calibri" w:cs="Times New Roman"/>
      <w:kern w:val="2"/>
      <w:sz w:val="21"/>
      <w:szCs w:val="24"/>
      <w:lang w:val="en-US" w:eastAsia="zh-CN" w:bidi="ar-SA"/>
    </w:rPr>
  </w:style>
  <w:style w:type="paragraph" w:customStyle="1" w:styleId="923">
    <w:name w:val="纯文本9"/>
    <w:pPr>
      <w:widowControl w:val="0"/>
      <w:jc w:val="both"/>
    </w:pPr>
    <w:rPr>
      <w:rFonts w:ascii="宋体" w:eastAsia="宋体" w:hAnsi="Times New Roman" w:cs="Courier New"/>
      <w:kern w:val="2"/>
      <w:sz w:val="21"/>
      <w:szCs w:val="21"/>
      <w:lang w:val="en-US" w:eastAsia="zh-CN"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zh-CN" w:bidi="ar-SA"/>
    </w:rPr>
  </w:style>
  <w:style w:type="paragraph" w:customStyle="1" w:styleId="4311">
    <w:name w:val="正文431"/>
    <w:pPr>
      <w:widowControl w:val="0"/>
      <w:jc w:val="both"/>
    </w:pPr>
    <w:rPr>
      <w:rFonts w:ascii="Calibri" w:eastAsia="宋体" w:hAnsi="Calibri" w:cs="Times New Roman"/>
      <w:kern w:val="2"/>
      <w:sz w:val="21"/>
      <w:szCs w:val="24"/>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zh-CN"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zh-CN" w:bidi="ar-SA"/>
    </w:rPr>
  </w:style>
  <w:style w:type="paragraph" w:customStyle="1" w:styleId="10460">
    <w:name w:val="正文1046"/>
    <w:pPr>
      <w:widowControl w:val="0"/>
      <w:jc w:val="both"/>
    </w:pPr>
    <w:rPr>
      <w:rFonts w:ascii="Calibri" w:eastAsia="宋体" w:hAnsi="Calibri" w:cs="Times New Roman"/>
      <w:kern w:val="2"/>
      <w:sz w:val="21"/>
      <w:szCs w:val="24"/>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9120">
    <w:name w:val="正文912"/>
    <w:pPr>
      <w:widowControl w:val="0"/>
      <w:jc w:val="both"/>
    </w:pPr>
    <w:rPr>
      <w:rFonts w:ascii="Calibri" w:eastAsia="宋体" w:hAnsi="Calibri"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852">
    <w:name w:val="纯文本85"/>
    <w:pPr>
      <w:widowControl w:val="0"/>
      <w:jc w:val="both"/>
    </w:pPr>
    <w:rPr>
      <w:rFonts w:ascii="宋体" w:eastAsia="宋体" w:hAnsi="Times New Roman" w:cs="Courier New"/>
      <w:kern w:val="2"/>
      <w:sz w:val="21"/>
      <w:szCs w:val="21"/>
      <w:lang w:val="en-US" w:eastAsia="zh-CN" w:bidi="ar-SA"/>
    </w:rPr>
  </w:style>
  <w:style w:type="paragraph" w:customStyle="1" w:styleId="264">
    <w:name w:val="正文26"/>
    <w:pPr>
      <w:widowControl w:val="0"/>
      <w:jc w:val="both"/>
    </w:pPr>
    <w:rPr>
      <w:rFonts w:ascii="Calibri" w:eastAsia="宋体" w:hAnsi="Calibri" w:cs="Times New Roman"/>
      <w:kern w:val="2"/>
      <w:sz w:val="21"/>
      <w:szCs w:val="22"/>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zh-CN" w:bidi="ar-SA"/>
    </w:rPr>
  </w:style>
  <w:style w:type="paragraph" w:customStyle="1" w:styleId="5350">
    <w:name w:val="正文535"/>
    <w:pPr>
      <w:widowControl w:val="0"/>
      <w:jc w:val="both"/>
    </w:pPr>
    <w:rPr>
      <w:rFonts w:ascii="Calibri" w:eastAsia="宋体" w:hAnsi="Calibri"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a36">
    <w:name w:val="公式样式 函数"/>
    <w:rPr>
      <w:rFonts w:ascii="Times New Roman" w:eastAsia="宋体" w:hAnsi="Times New Roman" w:cs="Times New Roman"/>
      <w:kern w:val="2"/>
      <w:sz w:val="20"/>
      <w:szCs w:val="28"/>
      <w:lang w:val="en-US" w:eastAsia="zh-CN" w:bidi="ar-SA"/>
    </w:rPr>
  </w:style>
  <w:style w:type="paragraph" w:customStyle="1" w:styleId="2640">
    <w:name w:val="正文264"/>
    <w:pPr>
      <w:widowControl w:val="0"/>
      <w:jc w:val="both"/>
    </w:pPr>
    <w:rPr>
      <w:rFonts w:ascii="Calibri" w:eastAsia="宋体" w:hAnsi="Calibri"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zh-CN" w:bidi="ar-SA"/>
    </w:rPr>
  </w:style>
  <w:style w:type="paragraph" w:customStyle="1" w:styleId="368">
    <w:name w:val="正文36"/>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zh-CN" w:bidi="ar-SA"/>
    </w:rPr>
  </w:style>
  <w:style w:type="paragraph" w:customStyle="1" w:styleId="3950">
    <w:name w:val="正文395"/>
    <w:pPr>
      <w:widowControl w:val="0"/>
      <w:jc w:val="both"/>
    </w:pPr>
    <w:rPr>
      <w:rFonts w:ascii="Calibri" w:eastAsia="宋体" w:hAnsi="Calibri"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eastAsia="zh-CN"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2270">
    <w:name w:val="正文227"/>
    <w:pPr>
      <w:widowControl w:val="0"/>
      <w:jc w:val="both"/>
    </w:pPr>
    <w:rPr>
      <w:rFonts w:ascii="Calibri" w:eastAsia="宋体" w:hAnsi="Calibri" w:cs="Times New Roman"/>
      <w:kern w:val="2"/>
      <w:sz w:val="21"/>
      <w:szCs w:val="24"/>
      <w:lang w:val="en-US" w:eastAsia="zh-CN" w:bidi="ar-SA"/>
    </w:rPr>
  </w:style>
  <w:style w:type="paragraph" w:customStyle="1" w:styleId="11710">
    <w:name w:val="正文1171"/>
    <w:pPr>
      <w:widowControl w:val="0"/>
      <w:jc w:val="both"/>
    </w:pPr>
    <w:rPr>
      <w:rFonts w:ascii="Calibri" w:eastAsia="宋体" w:hAnsi="Calibri" w:cs="Times New Roman"/>
      <w:kern w:val="2"/>
      <w:sz w:val="21"/>
      <w:szCs w:val="24"/>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580">
    <w:name w:val="纯文本58"/>
    <w:pPr>
      <w:widowControl w:val="0"/>
      <w:jc w:val="both"/>
    </w:pPr>
    <w:rPr>
      <w:rFonts w:ascii="宋体" w:eastAsia="宋体" w:hAnsi="Times New Roman" w:cs="Courier New"/>
      <w:kern w:val="2"/>
      <w:sz w:val="21"/>
      <w:szCs w:val="21"/>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15">
    <w:name w:val="正文81"/>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8620">
    <w:name w:val="正文862"/>
    <w:pPr>
      <w:widowControl w:val="0"/>
      <w:jc w:val="both"/>
    </w:pPr>
    <w:rPr>
      <w:rFonts w:ascii="Calibri" w:eastAsia="宋体" w:hAnsi="Calibri" w:cs="Times New Roman"/>
      <w:kern w:val="2"/>
      <w:sz w:val="21"/>
      <w:szCs w:val="22"/>
      <w:lang w:val="en-US" w:eastAsia="zh-CN"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zh-CN" w:bidi="ar-SA"/>
    </w:rPr>
  </w:style>
  <w:style w:type="paragraph" w:customStyle="1" w:styleId="10011">
    <w:name w:val="正文1001"/>
    <w:pPr>
      <w:widowControl w:val="0"/>
      <w:jc w:val="both"/>
    </w:pPr>
    <w:rPr>
      <w:rFonts w:ascii="Calibri" w:eastAsia="宋体" w:hAnsi="Calibri"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zh-CN" w:bidi="ar-SA"/>
    </w:rPr>
  </w:style>
  <w:style w:type="paragraph" w:customStyle="1" w:styleId="a38">
    <w:name w:val="公式样式 符号"/>
    <w:rPr>
      <w:rFonts w:ascii="Calibri" w:eastAsia="宋体" w:hAnsi="Calibri" w:cs="Times New Roman"/>
      <w:kern w:val="2"/>
      <w:sz w:val="20"/>
      <w:szCs w:val="28"/>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5212">
    <w:name w:val="正文52"/>
    <w:pPr>
      <w:widowControl w:val="0"/>
      <w:jc w:val="both"/>
    </w:pPr>
    <w:rPr>
      <w:rFonts w:ascii="Calibri" w:eastAsia="宋体" w:hAnsi="Calibri" w:cs="Times New Roman"/>
      <w:kern w:val="2"/>
      <w:sz w:val="21"/>
      <w:szCs w:val="22"/>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07">
    <w:name w:val="纯文本7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5270">
    <w:name w:val="正文527"/>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eastAsia="zh-CN"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120">
    <w:name w:val="正文1112"/>
    <w:pPr>
      <w:widowControl w:val="0"/>
      <w:jc w:val="both"/>
    </w:pPr>
    <w:rPr>
      <w:rFonts w:ascii="Calibri" w:eastAsia="宋体" w:hAnsi="Calibri" w:cs="Times New Roman"/>
      <w:kern w:val="2"/>
      <w:sz w:val="21"/>
      <w:szCs w:val="24"/>
      <w:lang w:val="en-US" w:eastAsia="zh-CN"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321">
    <w:name w:val="正文132"/>
    <w:pPr>
      <w:widowControl w:val="0"/>
      <w:jc w:val="both"/>
    </w:pPr>
    <w:rPr>
      <w:rFonts w:ascii="Calibri" w:eastAsia="宋体" w:hAnsi="Calibri" w:cs="Times New Roman"/>
      <w:kern w:val="2"/>
      <w:sz w:val="21"/>
      <w:szCs w:val="24"/>
      <w:lang w:val="en-US" w:eastAsia="zh-CN" w:bidi="ar-SA"/>
    </w:rPr>
  </w:style>
  <w:style w:type="paragraph" w:customStyle="1" w:styleId="4113">
    <w:name w:val="正文41"/>
    <w:pPr>
      <w:widowControl w:val="0"/>
      <w:jc w:val="both"/>
    </w:pPr>
    <w:rPr>
      <w:rFonts w:ascii="Calibri" w:eastAsia="宋体" w:hAnsi="Calibri" w:cs="Times New Roman"/>
      <w:kern w:val="2"/>
      <w:sz w:val="21"/>
      <w:szCs w:val="22"/>
      <w:lang w:val="en-US" w:eastAsia="zh-CN"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719">
    <w:name w:val="正文7"/>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740">
    <w:name w:val="正文174"/>
    <w:pPr>
      <w:widowControl w:val="0"/>
      <w:jc w:val="both"/>
    </w:pPr>
    <w:rPr>
      <w:rFonts w:ascii="Calibri" w:eastAsia="宋体" w:hAnsi="Calibri"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2330">
    <w:name w:val="正文233"/>
    <w:pPr>
      <w:widowControl w:val="0"/>
      <w:jc w:val="both"/>
    </w:pPr>
    <w:rPr>
      <w:rFonts w:ascii="Calibri" w:eastAsia="宋体" w:hAnsi="Calibri"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723">
    <w:name w:val="正文723"/>
    <w:pPr>
      <w:widowControl w:val="0"/>
      <w:jc w:val="both"/>
    </w:pPr>
    <w:rPr>
      <w:rFonts w:ascii="Calibri" w:eastAsia="宋体" w:hAnsi="Calibri" w:cs="Times New Roman"/>
      <w:kern w:val="2"/>
      <w:sz w:val="21"/>
      <w:szCs w:val="24"/>
      <w:lang w:val="en-US" w:eastAsia="zh-CN" w:bidi="ar-SA"/>
    </w:rPr>
  </w:style>
  <w:style w:type="paragraph" w:customStyle="1" w:styleId="188">
    <w:name w:val="正文188"/>
    <w:pPr>
      <w:widowControl w:val="0"/>
      <w:jc w:val="both"/>
    </w:pPr>
    <w:rPr>
      <w:rFonts w:ascii="Calibri" w:eastAsia="宋体" w:hAnsi="Calibri" w:cs="Times New Roman"/>
      <w:kern w:val="2"/>
      <w:sz w:val="21"/>
      <w:szCs w:val="24"/>
      <w:lang w:val="en-US" w:eastAsia="zh-CN" w:bidi="ar-SA"/>
    </w:rPr>
  </w:style>
  <w:style w:type="paragraph" w:customStyle="1" w:styleId="1600">
    <w:name w:val="正文160"/>
    <w:pPr>
      <w:widowControl w:val="0"/>
      <w:jc w:val="both"/>
    </w:pPr>
    <w:rPr>
      <w:rFonts w:ascii="Calibri" w:eastAsia="宋体" w:hAnsi="Calibri" w:cs="Times New Roman"/>
      <w:kern w:val="2"/>
      <w:sz w:val="21"/>
      <w:szCs w:val="24"/>
      <w:lang w:val="en-US" w:eastAsia="zh-CN" w:bidi="ar-SA"/>
    </w:rPr>
  </w:style>
  <w:style w:type="paragraph" w:customStyle="1" w:styleId="7011">
    <w:name w:val="正文70"/>
    <w:pPr>
      <w:widowControl w:val="0"/>
      <w:jc w:val="both"/>
    </w:pPr>
    <w:rPr>
      <w:rFonts w:ascii="Calibri" w:eastAsia="宋体" w:hAnsi="Calibri" w:cs="Times New Roman"/>
      <w:kern w:val="2"/>
      <w:sz w:val="21"/>
      <w:szCs w:val="24"/>
      <w:lang w:val="en-US" w:eastAsia="zh-CN" w:bidi="ar-SA"/>
    </w:rPr>
  </w:style>
  <w:style w:type="paragraph" w:customStyle="1" w:styleId="5070">
    <w:name w:val="正文507"/>
    <w:pPr>
      <w:widowControl w:val="0"/>
      <w:jc w:val="both"/>
    </w:pPr>
    <w:rPr>
      <w:rFonts w:ascii="Calibri" w:eastAsia="宋体" w:hAnsi="Calibri"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0170">
    <w:name w:val="正文1017"/>
    <w:pPr>
      <w:widowControl w:val="0"/>
      <w:jc w:val="both"/>
    </w:pPr>
    <w:rPr>
      <w:rFonts w:ascii="Calibri" w:eastAsia="宋体" w:hAnsi="Calibri"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eastAsia="zh-CN" w:bidi="ar-SA"/>
    </w:rPr>
  </w:style>
  <w:style w:type="paragraph" w:customStyle="1" w:styleId="385">
    <w:name w:val="正文385"/>
    <w:pPr>
      <w:widowControl w:val="0"/>
      <w:jc w:val="both"/>
    </w:pPr>
    <w:rPr>
      <w:rFonts w:ascii="Calibri" w:eastAsia="宋体" w:hAnsi="Calibri" w:cs="Times New Roman"/>
      <w:kern w:val="2"/>
      <w:sz w:val="21"/>
      <w:szCs w:val="24"/>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eastAsia="zh-CN" w:bidi="ar-SA"/>
    </w:rPr>
  </w:style>
  <w:style w:type="paragraph" w:customStyle="1" w:styleId="5400">
    <w:name w:val="正文540"/>
    <w:pPr>
      <w:widowControl w:val="0"/>
      <w:jc w:val="both"/>
    </w:pPr>
    <w:rPr>
      <w:rFonts w:ascii="Calibri" w:eastAsia="宋体" w:hAnsi="Calibri"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4080">
    <w:name w:val="正文408"/>
    <w:pPr>
      <w:widowControl w:val="0"/>
      <w:jc w:val="both"/>
    </w:pPr>
    <w:rPr>
      <w:rFonts w:ascii="Calibri" w:eastAsia="宋体" w:hAnsi="Calibri"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zh-CN" w:bidi="ar-SA"/>
    </w:rPr>
  </w:style>
  <w:style w:type="paragraph" w:customStyle="1" w:styleId="12210">
    <w:name w:val="纯文本122"/>
    <w:pPr>
      <w:widowControl w:val="0"/>
      <w:jc w:val="both"/>
    </w:pPr>
    <w:rPr>
      <w:rFonts w:ascii="宋体" w:eastAsia="宋体" w:hAnsi="Times New Roman" w:cs="Courier New"/>
      <w:kern w:val="2"/>
      <w:sz w:val="21"/>
      <w:szCs w:val="21"/>
      <w:lang w:val="en-US" w:eastAsia="zh-CN"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7140">
    <w:name w:val="正文714"/>
    <w:pPr>
      <w:widowControl w:val="0"/>
      <w:jc w:val="both"/>
    </w:pPr>
    <w:rPr>
      <w:rFonts w:ascii="Calibri" w:eastAsia="宋体" w:hAnsi="Calibri" w:cs="Times New Roman"/>
      <w:kern w:val="2"/>
      <w:sz w:val="21"/>
      <w:szCs w:val="24"/>
      <w:lang w:val="en-US" w:eastAsia="zh-CN"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eastAsia="zh-CN"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0060">
    <w:name w:val="正文1006"/>
    <w:pPr>
      <w:widowControl w:val="0"/>
      <w:jc w:val="both"/>
    </w:pPr>
    <w:rPr>
      <w:rFonts w:ascii="Calibri" w:eastAsia="宋体" w:hAnsi="Calibri" w:cs="Times New Roman"/>
      <w:kern w:val="2"/>
      <w:sz w:val="21"/>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3320">
    <w:name w:val="正文332"/>
    <w:pPr>
      <w:widowControl w:val="0"/>
      <w:jc w:val="both"/>
    </w:pPr>
    <w:rPr>
      <w:rFonts w:ascii="Calibri" w:eastAsia="宋体" w:hAnsi="Calibri"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zh-CN" w:bidi="ar-SA"/>
    </w:rPr>
  </w:style>
  <w:style w:type="paragraph" w:customStyle="1" w:styleId="7211">
    <w:name w:val="正文72"/>
    <w:pPr>
      <w:widowControl w:val="0"/>
      <w:jc w:val="both"/>
    </w:pPr>
    <w:rPr>
      <w:rFonts w:ascii="Calibri" w:eastAsia="宋体" w:hAnsi="Calibri"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zh-CN" w:bidi="ar-SA"/>
    </w:rPr>
  </w:style>
  <w:style w:type="paragraph" w:customStyle="1" w:styleId="546">
    <w:name w:val="正文5"/>
    <w:pPr>
      <w:widowControl w:val="0"/>
      <w:jc w:val="both"/>
    </w:pPr>
    <w:rPr>
      <w:rFonts w:ascii="Calibri" w:eastAsia="宋体" w:hAnsi="Calibri"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eastAsia="zh-CN" w:bidi="ar-SA"/>
    </w:rPr>
  </w:style>
  <w:style w:type="paragraph" w:customStyle="1" w:styleId="8411">
    <w:name w:val="正文84"/>
    <w:pPr>
      <w:widowControl w:val="0"/>
      <w:jc w:val="both"/>
    </w:pPr>
    <w:rPr>
      <w:rFonts w:ascii="Calibri" w:eastAsia="宋体" w:hAnsi="Calibri" w:cs="Times New Roman"/>
      <w:kern w:val="2"/>
      <w:sz w:val="21"/>
      <w:szCs w:val="24"/>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0360">
    <w:name w:val="正文1036"/>
    <w:rPr>
      <w:rFonts w:ascii="Calibri" w:eastAsia="宋体" w:hAnsi="Calibri" w:cs="Times New Roman"/>
      <w:kern w:val="2"/>
      <w:sz w:val="21"/>
      <w:szCs w:val="21"/>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5760">
    <w:name w:val="正文576"/>
    <w:pPr>
      <w:widowControl w:val="0"/>
      <w:jc w:val="both"/>
    </w:pPr>
    <w:rPr>
      <w:rFonts w:ascii="Calibri" w:eastAsia="宋体" w:hAnsi="Calibri" w:cs="Times New Roman"/>
      <w:kern w:val="2"/>
      <w:sz w:val="21"/>
      <w:szCs w:val="24"/>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eastAsia="zh-CN"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zh-CN" w:bidi="ar-SA"/>
    </w:rPr>
  </w:style>
  <w:style w:type="paragraph" w:customStyle="1" w:styleId="995">
    <w:name w:val="正文99"/>
    <w:pPr>
      <w:widowControl w:val="0"/>
      <w:jc w:val="both"/>
    </w:pPr>
    <w:rPr>
      <w:rFonts w:ascii="Calibri" w:eastAsia="宋体" w:hAnsi="Calibri" w:cs="Times New Roman"/>
      <w:kern w:val="2"/>
      <w:sz w:val="21"/>
      <w:szCs w:val="24"/>
      <w:lang w:val="en-US" w:eastAsia="zh-CN"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zh-CN" w:bidi="ar-SA"/>
    </w:rPr>
  </w:style>
  <w:style w:type="paragraph" w:customStyle="1" w:styleId="1712">
    <w:name w:val="纯文本17"/>
    <w:pPr>
      <w:widowControl w:val="0"/>
      <w:jc w:val="both"/>
    </w:pPr>
    <w:rPr>
      <w:rFonts w:ascii="宋体" w:eastAsia="宋体" w:hAnsi="Times New Roman" w:cs="Courier New"/>
      <w:kern w:val="2"/>
      <w:sz w:val="21"/>
      <w:szCs w:val="21"/>
      <w:lang w:val="en-US" w:eastAsia="zh-CN"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zh-CN"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zh-CN" w:bidi="ar-SA"/>
    </w:rPr>
  </w:style>
  <w:style w:type="paragraph" w:customStyle="1" w:styleId="467">
    <w:name w:val="纯文本46"/>
    <w:pPr>
      <w:widowControl w:val="0"/>
      <w:jc w:val="both"/>
    </w:pPr>
    <w:rPr>
      <w:rFonts w:ascii="宋体" w:eastAsia="宋体" w:hAnsi="Times New Roman" w:cs="Courier New"/>
      <w:kern w:val="2"/>
      <w:sz w:val="21"/>
      <w:szCs w:val="21"/>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9650">
    <w:name w:val="正文965"/>
    <w:pPr>
      <w:widowControl w:val="0"/>
      <w:jc w:val="both"/>
    </w:pPr>
    <w:rPr>
      <w:rFonts w:ascii="Calibri" w:eastAsia="宋体" w:hAnsi="Calibri" w:cs="Times New Roman"/>
      <w:kern w:val="2"/>
      <w:sz w:val="21"/>
      <w:szCs w:val="22"/>
      <w:lang w:val="en-US" w:eastAsia="zh-CN" w:bidi="ar-SA"/>
    </w:rPr>
  </w:style>
  <w:style w:type="paragraph" w:customStyle="1" w:styleId="2400">
    <w:name w:val="正文240"/>
    <w:pPr>
      <w:widowControl w:val="0"/>
      <w:jc w:val="both"/>
    </w:pPr>
    <w:rPr>
      <w:rFonts w:ascii="Calibri" w:eastAsia="宋体" w:hAnsi="Calibri" w:cs="Times New Roman"/>
      <w:kern w:val="2"/>
      <w:sz w:val="21"/>
      <w:szCs w:val="24"/>
      <w:lang w:val="en-US" w:eastAsia="zh-CN" w:bidi="ar-SA"/>
    </w:rPr>
  </w:style>
  <w:style w:type="paragraph" w:customStyle="1" w:styleId="9560">
    <w:name w:val="正文956"/>
    <w:pPr>
      <w:widowControl w:val="0"/>
      <w:jc w:val="both"/>
    </w:pPr>
    <w:rPr>
      <w:rFonts w:ascii="Calibri" w:eastAsia="宋体" w:hAnsi="Calibri" w:cs="Times New Roman"/>
      <w:kern w:val="2"/>
      <w:sz w:val="21"/>
      <w:szCs w:val="22"/>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1137">
    <w:name w:val="1"/>
    <w:pPr>
      <w:ind w:firstLine="200"/>
      <w:jc w:val="both"/>
    </w:pPr>
    <w:rPr>
      <w:rFonts w:ascii="宋体" w:eastAsia="宋体" w:hAnsi="Times New Roman" w:cs="Calibri"/>
      <w:kern w:val="2"/>
      <w:sz w:val="28"/>
      <w:szCs w:val="28"/>
      <w:lang w:val="en-US" w:eastAsia="zh-CN" w:bidi="ar-SA"/>
    </w:rPr>
  </w:style>
  <w:style w:type="paragraph" w:customStyle="1" w:styleId="9950">
    <w:name w:val="正文995"/>
    <w:pPr>
      <w:widowControl w:val="0"/>
      <w:jc w:val="both"/>
    </w:pPr>
    <w:rPr>
      <w:rFonts w:ascii="Calibri" w:eastAsia="宋体" w:hAnsi="Calibri"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9180">
    <w:name w:val="正文918"/>
    <w:pPr>
      <w:widowControl w:val="0"/>
      <w:jc w:val="both"/>
    </w:pPr>
    <w:rPr>
      <w:rFonts w:ascii="Calibri" w:eastAsia="宋体" w:hAnsi="Calibri" w:cs="Times New Roman"/>
      <w:kern w:val="2"/>
      <w:sz w:val="21"/>
      <w:szCs w:val="24"/>
      <w:lang w:val="en-US" w:eastAsia="zh-CN" w:bidi="ar-SA"/>
    </w:rPr>
  </w:style>
  <w:style w:type="paragraph" w:customStyle="1" w:styleId="348">
    <w:name w:val="正文3"/>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zh-CN" w:bidi="ar-SA"/>
    </w:rPr>
  </w:style>
  <w:style w:type="paragraph" w:customStyle="1" w:styleId="997">
    <w:name w:val="纯文本99"/>
    <w:pPr>
      <w:widowControl w:val="0"/>
      <w:jc w:val="both"/>
    </w:pPr>
    <w:rPr>
      <w:rFonts w:ascii="宋体" w:eastAsia="宋体" w:hAnsi="Times New Roman" w:cs="Courier New"/>
      <w:kern w:val="2"/>
      <w:sz w:val="21"/>
      <w:szCs w:val="21"/>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eastAsia="zh-CN"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zh-CN"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eastAsia="zh-CN"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zh-CN"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514">
    <w:name w:val="纯文本15"/>
    <w:pPr>
      <w:widowControl w:val="0"/>
      <w:jc w:val="both"/>
    </w:pPr>
    <w:rPr>
      <w:rFonts w:ascii="宋体" w:eastAsia="宋体" w:hAnsi="Times New Roman" w:cs="Courier New"/>
      <w:kern w:val="2"/>
      <w:sz w:val="21"/>
      <w:szCs w:val="21"/>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eastAsia="zh-CN"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9330">
    <w:name w:val="正文933"/>
    <w:pPr>
      <w:widowControl w:val="0"/>
      <w:jc w:val="both"/>
    </w:pPr>
    <w:rPr>
      <w:rFonts w:ascii="Calibri" w:eastAsia="宋体" w:hAnsi="Calibri" w:cs="Times New Roman"/>
      <w:kern w:val="2"/>
      <w:sz w:val="21"/>
      <w:szCs w:val="24"/>
      <w:lang w:val="en-US" w:eastAsia="zh-CN" w:bidi="ar-SA"/>
    </w:rPr>
  </w:style>
  <w:style w:type="paragraph" w:customStyle="1" w:styleId="5311">
    <w:name w:val="纯文本53"/>
    <w:pPr>
      <w:widowControl w:val="0"/>
      <w:jc w:val="both"/>
    </w:pPr>
    <w:rPr>
      <w:rFonts w:ascii="宋体" w:eastAsia="宋体" w:hAnsi="Times New Roman" w:cs="Courier New"/>
      <w:kern w:val="2"/>
      <w:sz w:val="21"/>
      <w:szCs w:val="21"/>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zh-CN" w:bidi="ar-SA"/>
    </w:rPr>
  </w:style>
  <w:style w:type="paragraph" w:customStyle="1" w:styleId="11280">
    <w:name w:val="正文1128"/>
    <w:pPr>
      <w:widowControl w:val="0"/>
      <w:jc w:val="both"/>
    </w:pPr>
    <w:rPr>
      <w:rFonts w:ascii="Calibri" w:eastAsia="宋体" w:hAnsi="Calibri"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zh-CN"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840">
    <w:name w:val="正文184"/>
    <w:pPr>
      <w:widowControl w:val="0"/>
      <w:jc w:val="both"/>
    </w:pPr>
    <w:rPr>
      <w:rFonts w:ascii="Calibri" w:eastAsia="宋体" w:hAnsi="Calibri"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zh-CN"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zh-CN" w:bidi="ar-SA"/>
    </w:rPr>
  </w:style>
  <w:style w:type="paragraph" w:customStyle="1" w:styleId="9230">
    <w:name w:val="正文923"/>
    <w:pPr>
      <w:widowControl w:val="0"/>
      <w:jc w:val="both"/>
    </w:pPr>
    <w:rPr>
      <w:rFonts w:ascii="Calibri" w:eastAsia="宋体" w:hAnsi="Calibri" w:cs="Times New Roman"/>
      <w:kern w:val="2"/>
      <w:sz w:val="21"/>
      <w:szCs w:val="24"/>
      <w:lang w:val="en-US" w:eastAsia="zh-CN" w:bidi="ar-SA"/>
    </w:rPr>
  </w:style>
  <w:style w:type="paragraph" w:customStyle="1" w:styleId="1185">
    <w:name w:val="正文11"/>
    <w:pPr>
      <w:widowControl w:val="0"/>
      <w:jc w:val="both"/>
    </w:pPr>
    <w:rPr>
      <w:rFonts w:ascii="Calibri" w:eastAsia="宋体" w:hAnsi="Calibri"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zh-CN"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zh-CN" w:bidi="ar-SA"/>
    </w:rPr>
  </w:style>
  <w:style w:type="paragraph" w:customStyle="1" w:styleId="6390">
    <w:name w:val="正文639"/>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zh-CN" w:bidi="ar-SA"/>
    </w:rPr>
  </w:style>
  <w:style w:type="paragraph" w:customStyle="1" w:styleId="5680">
    <w:name w:val="正文568"/>
    <w:pPr>
      <w:widowControl w:val="0"/>
      <w:jc w:val="both"/>
    </w:pPr>
    <w:rPr>
      <w:rFonts w:ascii="Calibri" w:eastAsia="宋体" w:hAnsi="Calibri" w:cs="Times New Roman"/>
      <w:kern w:val="2"/>
      <w:sz w:val="21"/>
      <w:szCs w:val="24"/>
      <w:lang w:val="en-US" w:eastAsia="zh-CN" w:bidi="ar-SA"/>
    </w:rPr>
  </w:style>
  <w:style w:type="paragraph" w:customStyle="1" w:styleId="7070">
    <w:name w:val="正文707"/>
    <w:pPr>
      <w:widowControl w:val="0"/>
      <w:jc w:val="both"/>
    </w:pPr>
    <w:rPr>
      <w:rFonts w:ascii="Calibri" w:eastAsia="宋体" w:hAnsi="Calibri"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zh-CN"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3520">
    <w:name w:val="正文352"/>
    <w:pPr>
      <w:widowControl w:val="0"/>
      <w:jc w:val="both"/>
    </w:pPr>
    <w:rPr>
      <w:rFonts w:ascii="Calibri" w:eastAsia="宋体" w:hAnsi="Calibri" w:cs="Times New Roman"/>
      <w:kern w:val="2"/>
      <w:sz w:val="21"/>
      <w:szCs w:val="24"/>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2540">
    <w:name w:val="正文254"/>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6630">
    <w:name w:val="正文663"/>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zh-CN" w:bidi="ar-SA"/>
    </w:rPr>
  </w:style>
  <w:style w:type="paragraph" w:customStyle="1" w:styleId="10540">
    <w:name w:val="正文1054"/>
    <w:rPr>
      <w:rFonts w:ascii="Calibri" w:eastAsia="宋体" w:hAnsi="Calibri" w:cs="Times New Roman"/>
      <w:kern w:val="2"/>
      <w:sz w:val="21"/>
      <w:szCs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zh-CN" w:bidi="ar-SA"/>
    </w:rPr>
  </w:style>
  <w:style w:type="paragraph" w:customStyle="1" w:styleId="8870">
    <w:name w:val="正文887"/>
    <w:pPr>
      <w:widowControl w:val="0"/>
      <w:jc w:val="both"/>
    </w:pPr>
    <w:rPr>
      <w:rFonts w:ascii="Calibri" w:eastAsia="宋体" w:hAnsi="Calibri" w:cs="Times New Roman"/>
      <w:kern w:val="2"/>
      <w:sz w:val="21"/>
      <w:szCs w:val="22"/>
      <w:lang w:val="en-US" w:eastAsia="zh-CN"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eastAsia="zh-CN"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zh-CN" w:bidi="ar-SA"/>
    </w:rPr>
  </w:style>
  <w:style w:type="paragraph" w:customStyle="1" w:styleId="7611">
    <w:name w:val="正文761"/>
    <w:pPr>
      <w:widowControl w:val="0"/>
      <w:jc w:val="both"/>
    </w:pPr>
    <w:rPr>
      <w:rFonts w:ascii="Calibri" w:eastAsia="宋体" w:hAnsi="Calibri"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6411">
    <w:name w:val="纯文本64"/>
    <w:pPr>
      <w:widowControl w:val="0"/>
      <w:jc w:val="both"/>
    </w:pPr>
    <w:rPr>
      <w:rFonts w:ascii="宋体" w:eastAsia="宋体" w:hAnsi="Times New Roman" w:cs="Courier New"/>
      <w:kern w:val="2"/>
      <w:sz w:val="21"/>
      <w:szCs w:val="21"/>
      <w:lang w:val="en-US" w:eastAsia="zh-CN" w:bidi="ar-SA"/>
    </w:rPr>
  </w:style>
  <w:style w:type="paragraph" w:customStyle="1" w:styleId="7511">
    <w:name w:val="正文751"/>
    <w:pPr>
      <w:widowControl w:val="0"/>
      <w:jc w:val="both"/>
    </w:pPr>
    <w:rPr>
      <w:rFonts w:ascii="Calibri" w:eastAsia="宋体" w:hAnsi="Calibri" w:cs="Times New Roman"/>
      <w:kern w:val="2"/>
      <w:sz w:val="21"/>
      <w:szCs w:val="24"/>
      <w:lang w:val="en-US" w:eastAsia="zh-CN"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zh-CN" w:bidi="ar-SA"/>
    </w:rPr>
  </w:style>
  <w:style w:type="paragraph" w:customStyle="1" w:styleId="8112">
    <w:name w:val="纯文本81"/>
    <w:pPr>
      <w:widowControl w:val="0"/>
      <w:jc w:val="both"/>
    </w:pPr>
    <w:rPr>
      <w:rFonts w:ascii="宋体" w:eastAsia="宋体" w:hAnsi="Times New Roman" w:cs="Courier New"/>
      <w:kern w:val="2"/>
      <w:sz w:val="21"/>
      <w:szCs w:val="21"/>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8380">
    <w:name w:val="正文838"/>
    <w:pPr>
      <w:widowControl w:val="0"/>
      <w:jc w:val="both"/>
    </w:pPr>
    <w:rPr>
      <w:rFonts w:ascii="Calibri" w:eastAsia="宋体" w:hAnsi="Calibri" w:cs="Times New Roman"/>
      <w:kern w:val="2"/>
      <w:sz w:val="21"/>
      <w:szCs w:val="22"/>
      <w:lang w:val="en-US" w:eastAsia="zh-CN" w:bidi="ar-SA"/>
    </w:rPr>
  </w:style>
  <w:style w:type="paragraph" w:customStyle="1" w:styleId="11320">
    <w:name w:val="正文1132"/>
    <w:pPr>
      <w:widowControl w:val="0"/>
      <w:jc w:val="both"/>
    </w:pPr>
    <w:rPr>
      <w:rFonts w:ascii="Calibri" w:eastAsia="宋体" w:hAnsi="Calibri" w:cs="Times New Roman"/>
      <w:kern w:val="2"/>
      <w:sz w:val="21"/>
      <w:szCs w:val="24"/>
      <w:lang w:val="en-US" w:eastAsia="zh-CN"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zh-CN" w:bidi="ar-SA"/>
    </w:rPr>
  </w:style>
  <w:style w:type="paragraph" w:customStyle="1" w:styleId="6160">
    <w:name w:val="正文616"/>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470">
    <w:name w:val="正文1047"/>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7560">
    <w:name w:val="正文756"/>
    <w:pPr>
      <w:widowControl w:val="0"/>
      <w:jc w:val="both"/>
    </w:pPr>
    <w:rPr>
      <w:rFonts w:ascii="Calibri" w:eastAsia="宋体" w:hAnsi="Calibri" w:cs="Times New Roman"/>
      <w:kern w:val="2"/>
      <w:sz w:val="21"/>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7312">
    <w:name w:val="纯文本73"/>
    <w:pPr>
      <w:widowControl w:val="0"/>
      <w:jc w:val="both"/>
    </w:pPr>
    <w:rPr>
      <w:rFonts w:ascii="宋体" w:eastAsia="宋体" w:hAnsi="Times New Roman" w:cs="Courier New"/>
      <w:kern w:val="2"/>
      <w:sz w:val="21"/>
      <w:szCs w:val="21"/>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zh-CN"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zh-CN"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9111">
    <w:name w:val="样式 9 11 磅"/>
    <w:rPr>
      <w:rFonts w:ascii="Calibri" w:eastAsia="宋体" w:hAnsi="Calibri" w:cs="Times New Roman"/>
      <w:sz w:val="22"/>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zh-CN"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3115">
    <w:name w:val="正文文本 31"/>
    <w:rPr>
      <w:rFonts w:ascii="宋体" w:eastAsia="宋体" w:hAnsi="Times New Roman" w:cs="宋体"/>
      <w:kern w:val="2"/>
      <w:sz w:val="24"/>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zh-CN" w:bidi="ar-SA"/>
    </w:rPr>
  </w:style>
  <w:style w:type="paragraph" w:customStyle="1" w:styleId="10911">
    <w:name w:val="正文109"/>
    <w:pPr>
      <w:widowControl w:val="0"/>
      <w:jc w:val="both"/>
    </w:pPr>
    <w:rPr>
      <w:rFonts w:ascii="Calibri" w:eastAsia="宋体" w:hAnsi="Calibri" w:cs="Times New Roman"/>
      <w:kern w:val="2"/>
      <w:sz w:val="21"/>
      <w:szCs w:val="24"/>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zh-CN" w:bidi="ar-SA"/>
    </w:rPr>
  </w:style>
  <w:style w:type="paragraph" w:customStyle="1" w:styleId="3330">
    <w:name w:val="正文333"/>
    <w:pPr>
      <w:widowControl w:val="0"/>
      <w:jc w:val="both"/>
    </w:pPr>
    <w:rPr>
      <w:rFonts w:ascii="Calibri" w:eastAsia="宋体" w:hAnsi="Calibri"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zh-CN" w:bidi="ar-SA"/>
    </w:rPr>
  </w:style>
  <w:style w:type="paragraph" w:customStyle="1" w:styleId="1820">
    <w:name w:val="正文182"/>
    <w:pPr>
      <w:widowControl w:val="0"/>
      <w:jc w:val="both"/>
    </w:pPr>
    <w:rPr>
      <w:rFonts w:ascii="Calibri" w:eastAsia="宋体" w:hAnsi="Calibri"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eastAsia="zh-CN"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zh-CN"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4114">
    <w:name w:val="正文_4_1"/>
    <w:next w:val="a8"/>
    <w:pPr>
      <w:widowControl w:val="0"/>
      <w:jc w:val="both"/>
    </w:pPr>
    <w:rPr>
      <w:rFonts w:ascii="Calibri" w:eastAsia="宋体" w:hAnsi="Calibri" w:cs="Times New Roman"/>
      <w:kern w:val="2"/>
      <w:sz w:val="21"/>
      <w:szCs w:val="22"/>
      <w:lang w:val="en-US" w:eastAsia="zh-CN" w:bidi="ar-SA"/>
    </w:rPr>
  </w:style>
  <w:style w:type="paragraph" w:customStyle="1" w:styleId="5880">
    <w:name w:val="正文588"/>
    <w:pPr>
      <w:widowControl w:val="0"/>
      <w:jc w:val="both"/>
    </w:pPr>
    <w:rPr>
      <w:rFonts w:ascii="Calibri" w:eastAsia="宋体" w:hAnsi="Calibri"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zh-CN" w:bidi="ar-SA"/>
    </w:rPr>
  </w:style>
  <w:style w:type="paragraph" w:customStyle="1" w:styleId="6330">
    <w:name w:val="正文633"/>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zh-CN" w:bidi="ar-SA"/>
    </w:rPr>
  </w:style>
  <w:style w:type="paragraph" w:customStyle="1" w:styleId="4211">
    <w:name w:val="纯文本42"/>
    <w:pPr>
      <w:widowControl w:val="0"/>
      <w:jc w:val="both"/>
    </w:pPr>
    <w:rPr>
      <w:rFonts w:ascii="宋体" w:eastAsia="宋体" w:hAnsi="Times New Roman" w:cs="Courier New"/>
      <w:kern w:val="2"/>
      <w:sz w:val="21"/>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4911">
    <w:name w:val="纯文本49"/>
    <w:pPr>
      <w:widowControl w:val="0"/>
      <w:jc w:val="both"/>
    </w:pPr>
    <w:rPr>
      <w:rFonts w:ascii="宋体" w:eastAsia="宋体" w:hAnsi="Times New Roman" w:cs="Courier New"/>
      <w:kern w:val="2"/>
      <w:sz w:val="21"/>
      <w:szCs w:val="21"/>
      <w:lang w:val="en-US" w:eastAsia="zh-CN" w:bidi="ar-SA"/>
    </w:rPr>
  </w:style>
  <w:style w:type="paragraph" w:customStyle="1" w:styleId="1650">
    <w:name w:val="正文165"/>
    <w:pPr>
      <w:widowControl w:val="0"/>
      <w:jc w:val="both"/>
    </w:pPr>
    <w:rPr>
      <w:rFonts w:ascii="Calibri" w:eastAsia="宋体" w:hAnsi="Calibri"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zh-CN"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317">
    <w:name w:val="纯文本131"/>
    <w:pPr>
      <w:widowControl w:val="0"/>
      <w:jc w:val="both"/>
    </w:pPr>
    <w:rPr>
      <w:rFonts w:ascii="宋体" w:eastAsia="宋体" w:hAnsi="Times New Roman" w:cs="Courier New"/>
      <w:kern w:val="2"/>
      <w:sz w:val="21"/>
      <w:szCs w:val="21"/>
      <w:lang w:val="en-US" w:eastAsia="zh-CN" w:bidi="ar-SA"/>
    </w:rPr>
  </w:style>
  <w:style w:type="paragraph" w:customStyle="1" w:styleId="4260">
    <w:name w:val="正文426"/>
    <w:pPr>
      <w:widowControl w:val="0"/>
      <w:jc w:val="both"/>
    </w:pPr>
    <w:rPr>
      <w:rFonts w:ascii="Calibri" w:eastAsia="宋体" w:hAnsi="Calibri" w:cs="Times New Roman"/>
      <w:kern w:val="2"/>
      <w:sz w:val="21"/>
      <w:szCs w:val="24"/>
      <w:lang w:val="en-US" w:eastAsia="zh-CN" w:bidi="ar-SA"/>
    </w:rPr>
  </w:style>
  <w:style w:type="paragraph" w:customStyle="1" w:styleId="3450">
    <w:name w:val="正文345"/>
    <w:pPr>
      <w:widowControl w:val="0"/>
      <w:jc w:val="both"/>
    </w:pPr>
    <w:rPr>
      <w:rFonts w:ascii="Calibri" w:eastAsia="宋体" w:hAnsi="Calibri" w:cs="Times New Roman"/>
      <w:kern w:val="2"/>
      <w:sz w:val="21"/>
      <w:szCs w:val="24"/>
      <w:lang w:val="en-US" w:eastAsia="zh-CN"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zh-CN"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3680">
    <w:name w:val="正文368"/>
    <w:pPr>
      <w:widowControl w:val="0"/>
      <w:jc w:val="both"/>
    </w:pPr>
    <w:rPr>
      <w:rFonts w:ascii="Calibri" w:eastAsia="宋体" w:hAnsi="Calibri" w:cs="Times New Roman"/>
      <w:kern w:val="2"/>
      <w:sz w:val="21"/>
      <w:szCs w:val="24"/>
      <w:lang w:val="en-US" w:eastAsia="zh-CN" w:bidi="ar-SA"/>
    </w:rPr>
  </w:style>
  <w:style w:type="paragraph" w:customStyle="1" w:styleId="3740">
    <w:name w:val="正文374"/>
    <w:pPr>
      <w:widowControl w:val="0"/>
      <w:jc w:val="both"/>
    </w:pPr>
    <w:rPr>
      <w:rFonts w:ascii="Calibri" w:eastAsia="宋体" w:hAnsi="Calibri"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4001">
    <w:name w:val="正文400"/>
    <w:pPr>
      <w:widowControl w:val="0"/>
      <w:jc w:val="both"/>
    </w:pPr>
    <w:rPr>
      <w:rFonts w:ascii="Calibri" w:eastAsia="宋体" w:hAnsi="Calibri"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8080">
    <w:name w:val="正文808"/>
    <w:pPr>
      <w:widowControl w:val="0"/>
      <w:jc w:val="both"/>
    </w:pPr>
    <w:rPr>
      <w:rFonts w:ascii="Calibri" w:eastAsia="宋体" w:hAnsi="Calibri" w:cs="Times New Roman"/>
      <w:kern w:val="2"/>
      <w:sz w:val="21"/>
      <w:szCs w:val="22"/>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713">
    <w:name w:val="样式 17"/>
    <w:rPr>
      <w:rFonts w:ascii="Times New Roman" w:eastAsia="宋体" w:hAnsi="Times New Roman" w:cs="Times New Roman"/>
      <w:sz w:val="20"/>
      <w:szCs w:val="20"/>
      <w:lang w:val="en-US" w:eastAsia="zh-CN" w:bidi="ar-SA"/>
    </w:rPr>
  </w:style>
  <w:style w:type="paragraph" w:customStyle="1" w:styleId="192810">
    <w:name w:val="样式 1928 10 磅"/>
    <w:pPr>
      <w:widowControl w:val="0"/>
      <w:jc w:val="both"/>
    </w:pPr>
    <w:rPr>
      <w:rFonts w:ascii="Times New Roman" w:eastAsia="宋体" w:hAnsi="Times New Roman" w:cs="Times New Roman"/>
      <w:kern w:val="2"/>
      <w:sz w:val="21"/>
      <w:szCs w:val="24"/>
      <w:lang w:val="en-US" w:eastAsia="zh-CN" w:bidi="ar-SA"/>
    </w:rPr>
  </w:style>
  <w:style w:type="paragraph" w:customStyle="1" w:styleId="194810">
    <w:name w:val="样式 1948 10 磅"/>
    <w:pPr>
      <w:widowControl w:val="0"/>
      <w:jc w:val="both"/>
    </w:pPr>
    <w:rPr>
      <w:rFonts w:ascii="宋体" w:eastAsia="宋体" w:hAnsi="Times New Roman" w:cs="Times New Roman"/>
      <w:kern w:val="2"/>
      <w:sz w:val="21"/>
      <w:szCs w:val="21"/>
      <w:lang w:val="en-US" w:eastAsia="zh-CN" w:bidi="ar-SA"/>
    </w:rPr>
  </w:style>
  <w:style w:type="paragraph" w:customStyle="1" w:styleId="194910">
    <w:name w:val="样式 1949 10 磅"/>
    <w:pPr>
      <w:widowControl w:val="0"/>
      <w:jc w:val="both"/>
    </w:pPr>
    <w:rPr>
      <w:rFonts w:ascii="宋体" w:eastAsia="宋体" w:hAnsi="Times New Roman" w:cs="Times New Roman"/>
      <w:kern w:val="2"/>
      <w:sz w:val="21"/>
      <w:szCs w:val="21"/>
      <w:lang w:val="en-US" w:eastAsia="zh-CN" w:bidi="ar-SA"/>
    </w:rPr>
  </w:style>
  <w:style w:type="paragraph" w:customStyle="1" w:styleId="195010">
    <w:name w:val="样式 1950 10 磅"/>
    <w:pPr>
      <w:widowControl w:val="0"/>
      <w:jc w:val="both"/>
    </w:pPr>
    <w:rPr>
      <w:rFonts w:ascii="宋体" w:eastAsia="宋体" w:hAnsi="Times New Roman" w:cs="Times New Roman"/>
      <w:kern w:val="2"/>
      <w:sz w:val="21"/>
      <w:szCs w:val="21"/>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56145E53-AC28-4D16-8B2E-17AC30FD47B8}">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14094929</TotalTime>
  <Pages>62</Pages>
  <Words>0</Words>
  <Characters>28614</Characters>
  <Application>Microsoft Office Word</Application>
  <DocSecurity>0</DocSecurity>
  <Lines>0</Lines>
  <Paragraphs>753</Paragraphs>
  <ScaleCrop>false</ScaleCrop>
  <Company>ms</Company>
  <LinksUpToDate>false</LinksUpToDate>
  <CharactersWithSpaces>38152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fang_yu</cp:lastModifiedBy>
  <cp:revision>6</cp:revision>
  <cp:lastPrinted>2020-06-24T09:06:00Z</cp:lastPrinted>
  <dcterms:created xsi:type="dcterms:W3CDTF">2021-11-24T16:33:00Z</dcterms:created>
  <dcterms:modified xsi:type="dcterms:W3CDTF">2024-09-04T04:07:56Z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